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BEF1E" w14:textId="4CCFB0C6" w:rsidR="00E269DB" w:rsidRPr="00C87B49" w:rsidRDefault="00C01D4A" w:rsidP="00E269DB">
      <w:pPr>
        <w:rPr>
          <w:rFonts w:ascii="Calibri" w:hAnsi="Calibri" w:cs="Browallia New"/>
          <w:b/>
          <w:bCs/>
          <w:sz w:val="28"/>
          <w:szCs w:val="35"/>
          <w:lang w:val="en-US" w:bidi="th-TH"/>
        </w:rPr>
      </w:pPr>
      <w:r w:rsidRPr="00C87B49">
        <w:rPr>
          <w:rFonts w:ascii="Calibri" w:hAnsi="Calibri" w:cs="Browallia New"/>
          <w:b/>
          <w:bCs/>
          <w:sz w:val="28"/>
          <w:szCs w:val="35"/>
          <w:lang w:val="en-US" w:bidi="th-TH"/>
        </w:rPr>
        <w:t>Gro</w:t>
      </w:r>
      <w:r w:rsidR="00173A03" w:rsidRPr="00C87B49">
        <w:rPr>
          <w:rFonts w:ascii="Calibri" w:hAnsi="Calibri" w:cs="Browallia New"/>
          <w:b/>
          <w:bCs/>
          <w:sz w:val="28"/>
          <w:szCs w:val="35"/>
          <w:lang w:val="en-US" w:bidi="th-TH"/>
        </w:rPr>
        <w:t>undwater</w:t>
      </w:r>
      <w:r w:rsidR="00C87B49" w:rsidRPr="00C87B49">
        <w:rPr>
          <w:rFonts w:ascii="Calibri" w:hAnsi="Calibri" w:cs="Browallia New"/>
          <w:b/>
          <w:bCs/>
          <w:sz w:val="28"/>
          <w:szCs w:val="35"/>
          <w:lang w:val="en-US" w:bidi="th-TH"/>
        </w:rPr>
        <w:t xml:space="preserve"> </w:t>
      </w:r>
      <w:r w:rsidR="00542B46">
        <w:rPr>
          <w:rFonts w:ascii="Calibri" w:hAnsi="Calibri" w:cs="Browallia New"/>
          <w:b/>
          <w:bCs/>
          <w:sz w:val="28"/>
          <w:szCs w:val="35"/>
          <w:lang w:val="en-US" w:bidi="th-TH"/>
        </w:rPr>
        <w:t>a</w:t>
      </w:r>
      <w:r w:rsidR="00173A03" w:rsidRPr="00C87B49">
        <w:rPr>
          <w:rFonts w:ascii="Calibri" w:hAnsi="Calibri" w:cs="Browallia New"/>
          <w:b/>
          <w:bCs/>
          <w:sz w:val="28"/>
          <w:szCs w:val="35"/>
          <w:lang w:val="en-US" w:bidi="th-TH"/>
        </w:rPr>
        <w:t xml:space="preserve">ssessment of the </w:t>
      </w:r>
      <w:r w:rsidR="00542B46">
        <w:rPr>
          <w:rFonts w:ascii="Calibri" w:hAnsi="Calibri" w:cs="Browallia New"/>
          <w:b/>
          <w:bCs/>
          <w:sz w:val="28"/>
          <w:szCs w:val="35"/>
          <w:lang w:val="en-US" w:bidi="th-TH"/>
        </w:rPr>
        <w:t>f</w:t>
      </w:r>
      <w:r w:rsidR="00173A03" w:rsidRPr="00C87B49">
        <w:rPr>
          <w:rFonts w:ascii="Calibri" w:hAnsi="Calibri" w:cs="Browallia New"/>
          <w:b/>
          <w:bCs/>
          <w:sz w:val="28"/>
          <w:szCs w:val="35"/>
          <w:lang w:val="en-US" w:bidi="th-TH"/>
        </w:rPr>
        <w:t xml:space="preserve">ractured </w:t>
      </w:r>
      <w:r w:rsidR="00542B46">
        <w:rPr>
          <w:rFonts w:ascii="Calibri" w:hAnsi="Calibri" w:cs="Browallia New"/>
          <w:b/>
          <w:bCs/>
          <w:sz w:val="28"/>
          <w:szCs w:val="35"/>
          <w:lang w:val="en-US" w:bidi="th-TH"/>
        </w:rPr>
        <w:t>r</w:t>
      </w:r>
      <w:r w:rsidR="00173A03" w:rsidRPr="00C87B49">
        <w:rPr>
          <w:rFonts w:ascii="Calibri" w:hAnsi="Calibri" w:cs="Browallia New"/>
          <w:b/>
          <w:bCs/>
          <w:sz w:val="28"/>
          <w:szCs w:val="35"/>
          <w:lang w:val="en-US" w:bidi="th-TH"/>
        </w:rPr>
        <w:t xml:space="preserve">ock </w:t>
      </w:r>
      <w:r w:rsidR="00542B46">
        <w:rPr>
          <w:rFonts w:ascii="Calibri" w:hAnsi="Calibri" w:cs="Browallia New"/>
          <w:b/>
          <w:bCs/>
          <w:sz w:val="28"/>
          <w:szCs w:val="35"/>
          <w:lang w:val="en-US" w:bidi="th-TH"/>
        </w:rPr>
        <w:t>a</w:t>
      </w:r>
      <w:r w:rsidR="00173A03" w:rsidRPr="00C87B49">
        <w:rPr>
          <w:rFonts w:ascii="Calibri" w:hAnsi="Calibri" w:cs="Browallia New"/>
          <w:b/>
          <w:bCs/>
          <w:sz w:val="28"/>
          <w:szCs w:val="35"/>
          <w:lang w:val="en-US" w:bidi="th-TH"/>
        </w:rPr>
        <w:t>quifer</w:t>
      </w:r>
      <w:r w:rsidR="00E53D38" w:rsidRPr="00C87B49">
        <w:rPr>
          <w:rFonts w:ascii="Calibri" w:hAnsi="Calibri" w:cs="Browallia New"/>
          <w:b/>
          <w:bCs/>
          <w:sz w:val="28"/>
          <w:szCs w:val="35"/>
          <w:lang w:val="en-US" w:bidi="th-TH"/>
        </w:rPr>
        <w:t>s</w:t>
      </w:r>
      <w:r w:rsidR="00173A03" w:rsidRPr="00C87B49">
        <w:rPr>
          <w:rFonts w:ascii="Calibri" w:hAnsi="Calibri" w:cs="Browallia New"/>
          <w:b/>
          <w:bCs/>
          <w:sz w:val="28"/>
          <w:szCs w:val="35"/>
          <w:lang w:val="en-US" w:bidi="th-TH"/>
        </w:rPr>
        <w:t xml:space="preserve"> in the Northern Flinders Ranges, South Australia</w:t>
      </w:r>
    </w:p>
    <w:p w14:paraId="68C121EB" w14:textId="77777777" w:rsidR="00E269DB" w:rsidRPr="00C87B49" w:rsidRDefault="00E269DB" w:rsidP="00E269DB">
      <w:pPr>
        <w:rPr>
          <w:rFonts w:ascii="Calibri" w:hAnsi="Calibri" w:cs="Calibri"/>
          <w:b/>
          <w:bCs/>
          <w:lang w:val="en-US"/>
        </w:rPr>
      </w:pPr>
    </w:p>
    <w:p w14:paraId="543F3446" w14:textId="01DDFD64" w:rsidR="00E269DB" w:rsidRPr="00C87B49" w:rsidRDefault="00173A03" w:rsidP="00E269DB">
      <w:pPr>
        <w:rPr>
          <w:rFonts w:ascii="Calibri" w:hAnsi="Calibri" w:cs="Calibri"/>
          <w:lang w:val="en-US"/>
        </w:rPr>
      </w:pPr>
      <w:r w:rsidRPr="00C87B49">
        <w:rPr>
          <w:rFonts w:ascii="Calibri" w:hAnsi="Calibri" w:cs="Calibri"/>
          <w:lang w:val="en-US"/>
        </w:rPr>
        <w:t>Natchanok</w:t>
      </w:r>
      <w:r w:rsidR="00E269DB" w:rsidRPr="00C87B49">
        <w:rPr>
          <w:rFonts w:ascii="Calibri" w:hAnsi="Calibri" w:cs="Calibri"/>
          <w:lang w:val="en-US"/>
        </w:rPr>
        <w:t xml:space="preserve"> </w:t>
      </w:r>
      <w:r w:rsidRPr="00C87B49">
        <w:rPr>
          <w:rFonts w:ascii="Calibri" w:hAnsi="Calibri" w:cs="Calibri"/>
          <w:lang w:val="en-US"/>
        </w:rPr>
        <w:t>Ounping</w:t>
      </w:r>
      <w:r w:rsidR="00E269DB" w:rsidRPr="00C87B49">
        <w:rPr>
          <w:rFonts w:ascii="Calibri" w:hAnsi="Calibri" w:cs="Calibri"/>
          <w:vertAlign w:val="superscript"/>
          <w:lang w:val="en-US"/>
        </w:rPr>
        <w:t>1</w:t>
      </w:r>
      <w:r w:rsidR="00C87B49">
        <w:rPr>
          <w:rFonts w:ascii="Calibri" w:hAnsi="Calibri" w:cs="Calibri"/>
          <w:vertAlign w:val="superscript"/>
          <w:lang w:val="en-US"/>
        </w:rPr>
        <w:t>,2</w:t>
      </w:r>
      <w:r w:rsidR="00C87B49" w:rsidRPr="00C87B49">
        <w:rPr>
          <w:rFonts w:ascii="Calibri" w:hAnsi="Calibri" w:cs="Calibri"/>
          <w:lang w:val="en-US"/>
        </w:rPr>
        <w:t>*</w:t>
      </w:r>
      <w:r w:rsidR="00C87B49">
        <w:rPr>
          <w:rFonts w:ascii="Calibri" w:hAnsi="Calibri" w:cs="Calibri"/>
          <w:lang w:val="en-US"/>
        </w:rPr>
        <w:t>,</w:t>
      </w:r>
      <w:r w:rsidR="00E269DB" w:rsidRPr="00C87B49">
        <w:rPr>
          <w:rFonts w:ascii="Calibri" w:hAnsi="Calibri" w:cs="Calibri"/>
          <w:lang w:val="en-US"/>
        </w:rPr>
        <w:t xml:space="preserve"> </w:t>
      </w:r>
      <w:r w:rsidRPr="00C87B49">
        <w:rPr>
          <w:rFonts w:ascii="Calibri" w:hAnsi="Calibri" w:cs="Calibri"/>
          <w:lang w:val="en-US"/>
        </w:rPr>
        <w:t>Eddie</w:t>
      </w:r>
      <w:r w:rsidR="00663777" w:rsidRPr="00C87B49">
        <w:rPr>
          <w:rFonts w:ascii="Calibri" w:hAnsi="Calibri" w:cs="Calibri"/>
          <w:lang w:val="en-US"/>
        </w:rPr>
        <w:t xml:space="preserve"> </w:t>
      </w:r>
      <w:r w:rsidRPr="00C87B49">
        <w:rPr>
          <w:rFonts w:ascii="Calibri" w:hAnsi="Calibri" w:cs="Calibri"/>
          <w:lang w:val="en-US"/>
        </w:rPr>
        <w:t>Banks</w:t>
      </w:r>
      <w:r w:rsidR="00E269DB" w:rsidRPr="00C87B49">
        <w:rPr>
          <w:rFonts w:ascii="Calibri" w:hAnsi="Calibri" w:cs="Calibri"/>
          <w:vertAlign w:val="superscript"/>
          <w:lang w:val="en-US"/>
        </w:rPr>
        <w:t>2</w:t>
      </w:r>
      <w:r w:rsidR="00C87B49">
        <w:rPr>
          <w:rFonts w:ascii="Calibri" w:hAnsi="Calibri" w:cs="Calibri"/>
          <w:lang w:val="en-US"/>
        </w:rPr>
        <w:t>,</w:t>
      </w:r>
      <w:r w:rsidR="00E269DB" w:rsidRPr="00C87B49">
        <w:rPr>
          <w:rFonts w:ascii="Calibri" w:hAnsi="Calibri" w:cs="Calibri"/>
          <w:lang w:val="en-US"/>
        </w:rPr>
        <w:t xml:space="preserve"> </w:t>
      </w:r>
      <w:r w:rsidRPr="00C87B49">
        <w:rPr>
          <w:rFonts w:ascii="Calibri" w:hAnsi="Calibri" w:cs="Calibri"/>
          <w:lang w:val="en-US"/>
        </w:rPr>
        <w:t>Margaret</w:t>
      </w:r>
      <w:r w:rsidR="00663777" w:rsidRPr="00C87B49">
        <w:rPr>
          <w:rFonts w:ascii="Calibri" w:hAnsi="Calibri" w:cs="Calibri"/>
          <w:lang w:val="en-US"/>
        </w:rPr>
        <w:t xml:space="preserve"> </w:t>
      </w:r>
      <w:r w:rsidRPr="00C87B49">
        <w:rPr>
          <w:rFonts w:ascii="Calibri" w:hAnsi="Calibri" w:cs="Calibri"/>
          <w:lang w:val="en-US"/>
        </w:rPr>
        <w:t>Shanafield</w:t>
      </w:r>
      <w:r w:rsidRPr="00C87B49">
        <w:rPr>
          <w:rFonts w:ascii="Calibri" w:hAnsi="Calibri" w:cs="Calibri"/>
          <w:vertAlign w:val="superscript"/>
          <w:lang w:val="en-US"/>
        </w:rPr>
        <w:t>2</w:t>
      </w:r>
    </w:p>
    <w:p w14:paraId="17C53D98" w14:textId="77777777" w:rsidR="00E269DB" w:rsidRPr="00C87B49" w:rsidRDefault="00E269DB" w:rsidP="00E269DB">
      <w:pPr>
        <w:rPr>
          <w:rFonts w:ascii="Calibri" w:hAnsi="Calibri" w:cs="Calibri"/>
          <w:b/>
          <w:bCs/>
          <w:lang w:val="en-US"/>
        </w:rPr>
      </w:pPr>
    </w:p>
    <w:p w14:paraId="04D8B3BC" w14:textId="4EEC814F" w:rsidR="00E269DB" w:rsidRPr="00C87B49" w:rsidRDefault="00E269DB" w:rsidP="001F25C1">
      <w:pPr>
        <w:ind w:left="142" w:hanging="142"/>
        <w:jc w:val="both"/>
        <w:rPr>
          <w:rFonts w:ascii="Calibri" w:hAnsi="Calibri" w:cstheme="minorBidi"/>
          <w:szCs w:val="30"/>
          <w:vertAlign w:val="superscript"/>
          <w:lang w:val="en-US" w:bidi="th-TH"/>
        </w:rPr>
      </w:pPr>
      <w:r w:rsidRPr="00C87B49">
        <w:rPr>
          <w:rFonts w:ascii="Calibri" w:hAnsi="Calibri" w:cs="Calibri"/>
          <w:vertAlign w:val="superscript"/>
          <w:lang w:val="en-US"/>
        </w:rPr>
        <w:t>1</w:t>
      </w:r>
      <w:r w:rsidRPr="00C87B49">
        <w:rPr>
          <w:rFonts w:ascii="Calibri" w:hAnsi="Calibri" w:cs="Calibri"/>
          <w:lang w:val="en-US"/>
        </w:rPr>
        <w:t xml:space="preserve"> </w:t>
      </w:r>
      <w:r w:rsidR="00173A03" w:rsidRPr="00C87B49">
        <w:rPr>
          <w:rFonts w:ascii="Calibri" w:hAnsi="Calibri" w:cs="Calibri"/>
          <w:lang w:val="en-US"/>
        </w:rPr>
        <w:t xml:space="preserve">Department of Groundwater Resources, </w:t>
      </w:r>
      <w:proofErr w:type="spellStart"/>
      <w:r w:rsidR="00173A03" w:rsidRPr="00C87B49">
        <w:rPr>
          <w:rFonts w:ascii="Calibri" w:hAnsi="Calibri" w:cs="Calibri"/>
          <w:lang w:val="en-US"/>
        </w:rPr>
        <w:t>Chatuchak</w:t>
      </w:r>
      <w:proofErr w:type="spellEnd"/>
      <w:r w:rsidR="00173A03" w:rsidRPr="00C87B49">
        <w:rPr>
          <w:rFonts w:ascii="Calibri" w:hAnsi="Calibri" w:cs="Calibri"/>
          <w:lang w:val="en-US"/>
        </w:rPr>
        <w:t>, Bangkok 10900 Thailand</w:t>
      </w:r>
    </w:p>
    <w:p w14:paraId="0873D9AA" w14:textId="449D55E6" w:rsidR="00E269DB" w:rsidRPr="00C87B49" w:rsidRDefault="00E269DB" w:rsidP="001F25C1">
      <w:pPr>
        <w:ind w:left="142" w:hanging="142"/>
        <w:jc w:val="both"/>
        <w:rPr>
          <w:rFonts w:ascii="Calibri" w:hAnsi="Calibri" w:cs="Calibri"/>
          <w:vertAlign w:val="superscript"/>
          <w:lang w:val="en-US"/>
        </w:rPr>
      </w:pPr>
      <w:r w:rsidRPr="00C87B49">
        <w:rPr>
          <w:rFonts w:ascii="Calibri" w:hAnsi="Calibri" w:cs="Calibri"/>
          <w:vertAlign w:val="superscript"/>
          <w:lang w:val="en-US"/>
        </w:rPr>
        <w:t>2</w:t>
      </w:r>
      <w:r w:rsidRPr="00C87B49">
        <w:rPr>
          <w:rFonts w:ascii="Calibri" w:hAnsi="Calibri" w:cs="Calibri"/>
          <w:lang w:val="en-US"/>
        </w:rPr>
        <w:t xml:space="preserve"> </w:t>
      </w:r>
      <w:r w:rsidR="00CA26AE" w:rsidRPr="00C87B49">
        <w:rPr>
          <w:rFonts w:ascii="Calibri" w:hAnsi="Calibri" w:cs="Calibri"/>
          <w:lang w:val="en-US"/>
        </w:rPr>
        <w:t xml:space="preserve">Flinders University, Sturt Rd, Bedford Park, South Australia 5042 </w:t>
      </w:r>
      <w:r w:rsidR="00BD2446" w:rsidRPr="00C87B49">
        <w:rPr>
          <w:rFonts w:ascii="Calibri" w:hAnsi="Calibri" w:cs="Calibri"/>
          <w:lang w:val="en-US"/>
        </w:rPr>
        <w:t>Australia</w:t>
      </w:r>
    </w:p>
    <w:p w14:paraId="5F72023B" w14:textId="77777777" w:rsidR="00E269DB" w:rsidRPr="00C87B49" w:rsidRDefault="00E269DB" w:rsidP="00E269DB">
      <w:pPr>
        <w:rPr>
          <w:rFonts w:ascii="Calibri" w:hAnsi="Calibri" w:cs="Calibri"/>
          <w:b/>
          <w:bCs/>
          <w:lang w:val="en-US"/>
        </w:rPr>
      </w:pPr>
    </w:p>
    <w:p w14:paraId="48C299FC" w14:textId="09CA4748" w:rsidR="00E269DB" w:rsidRPr="00C87B49" w:rsidRDefault="00C87B49" w:rsidP="00E269DB">
      <w:pPr>
        <w:rPr>
          <w:rFonts w:ascii="Calibri" w:hAnsi="Calibri" w:cstheme="minorBidi"/>
          <w:szCs w:val="30"/>
          <w:lang w:val="en-US" w:bidi="th-TH"/>
        </w:rPr>
      </w:pPr>
      <w:r>
        <w:rPr>
          <w:rFonts w:ascii="Calibri" w:hAnsi="Calibri" w:cs="Calibri"/>
          <w:b/>
          <w:bCs/>
          <w:lang w:val="en-US"/>
        </w:rPr>
        <w:t>*</w:t>
      </w:r>
      <w:r w:rsidR="00E269DB" w:rsidRPr="00C87B49">
        <w:rPr>
          <w:rFonts w:ascii="Calibri" w:hAnsi="Calibri" w:cs="Calibri"/>
          <w:b/>
          <w:bCs/>
          <w:lang w:val="en-US"/>
        </w:rPr>
        <w:t xml:space="preserve">Corresponding Author: </w:t>
      </w:r>
      <w:r w:rsidR="00E53D38" w:rsidRPr="00C87B49">
        <w:rPr>
          <w:rFonts w:ascii="Calibri" w:hAnsi="Calibri" w:cs="Calibri"/>
          <w:lang w:val="en-US"/>
        </w:rPr>
        <w:t>natchanokoun@gmail.com</w:t>
      </w:r>
    </w:p>
    <w:p w14:paraId="6C9A26C5" w14:textId="77777777" w:rsidR="00E269DB" w:rsidRPr="00C87B49" w:rsidRDefault="00E269DB" w:rsidP="00E269DB">
      <w:pPr>
        <w:rPr>
          <w:rFonts w:ascii="Calibri" w:hAnsi="Calibri" w:cs="Calibri"/>
          <w:b/>
          <w:bCs/>
          <w:lang w:val="en-US"/>
        </w:rPr>
      </w:pPr>
    </w:p>
    <w:p w14:paraId="5E8BB342" w14:textId="77777777" w:rsidR="0005336B" w:rsidRPr="00C87B49" w:rsidRDefault="0005336B" w:rsidP="0005336B">
      <w:pPr>
        <w:jc w:val="both"/>
        <w:rPr>
          <w:rFonts w:cstheme="minorHAnsi"/>
          <w:lang w:val="en-US" w:bidi="th-TH"/>
        </w:rPr>
      </w:pPr>
      <w:proofErr w:type="spellStart"/>
      <w:r w:rsidRPr="00C87B49">
        <w:rPr>
          <w:rFonts w:asciiTheme="minorHAnsi" w:hAnsiTheme="minorHAnsi" w:cstheme="minorHAnsi"/>
          <w:lang w:val="en-US" w:bidi="th-TH"/>
        </w:rPr>
        <w:t>Iga</w:t>
      </w:r>
      <w:proofErr w:type="spellEnd"/>
      <w:r w:rsidRPr="00C87B49">
        <w:rPr>
          <w:rFonts w:asciiTheme="minorHAnsi" w:hAnsiTheme="minorHAnsi" w:cstheme="minorHAnsi"/>
          <w:lang w:val="en-US" w:bidi="th-TH"/>
        </w:rPr>
        <w:t xml:space="preserve"> Warta, Leigh Creek Station, </w:t>
      </w:r>
      <w:proofErr w:type="spellStart"/>
      <w:r w:rsidRPr="00C87B49">
        <w:rPr>
          <w:rFonts w:asciiTheme="minorHAnsi" w:hAnsiTheme="minorHAnsi" w:cstheme="minorHAnsi"/>
          <w:lang w:val="en-US" w:bidi="th-TH"/>
        </w:rPr>
        <w:t>Kalkalpurannha</w:t>
      </w:r>
      <w:proofErr w:type="spellEnd"/>
      <w:r w:rsidRPr="00C87B49">
        <w:rPr>
          <w:rFonts w:asciiTheme="minorHAnsi" w:hAnsiTheme="minorHAnsi" w:cstheme="minorHAnsi"/>
          <w:lang w:val="en-US" w:bidi="th-TH"/>
        </w:rPr>
        <w:t xml:space="preserve">, and </w:t>
      </w:r>
      <w:proofErr w:type="spellStart"/>
      <w:r w:rsidRPr="00C87B49">
        <w:rPr>
          <w:rFonts w:asciiTheme="minorHAnsi" w:hAnsiTheme="minorHAnsi" w:cstheme="minorHAnsi"/>
          <w:lang w:val="en-US" w:bidi="th-TH"/>
        </w:rPr>
        <w:t>Yappala</w:t>
      </w:r>
      <w:proofErr w:type="spellEnd"/>
      <w:r w:rsidRPr="00C87B49">
        <w:rPr>
          <w:rFonts w:asciiTheme="minorHAnsi" w:hAnsiTheme="minorHAnsi" w:cstheme="minorHAnsi"/>
          <w:lang w:val="en-US" w:bidi="th-TH"/>
        </w:rPr>
        <w:t xml:space="preserve"> are self-supplied remote communities located in the hard rock area of the Northern Flinders Ranges. These four communities are identified as being very vulnerable to water insecurity in the next decade by the Department for Environment and Water. Groundwater presents a potential solution to mitigate this issue, as rainwater is highly variable due to the influence of arid and semi-arid climatic conditions. Therefore, groundwater assessment is required to obtain crucial information on the water quantity and quality of fractured rock aquifers in order to assist government agencies in formulating appropriate water strategies for each remote community. </w:t>
      </w:r>
    </w:p>
    <w:p w14:paraId="38101B7F" w14:textId="77777777" w:rsidR="0077096B" w:rsidRPr="00C87B49" w:rsidRDefault="0077096B" w:rsidP="003C7895">
      <w:pPr>
        <w:jc w:val="both"/>
        <w:rPr>
          <w:rFonts w:ascii="Calibri" w:hAnsi="Calibri" w:cs="Calibri"/>
          <w:lang w:val="en-US"/>
        </w:rPr>
      </w:pPr>
    </w:p>
    <w:p w14:paraId="36A64DD2" w14:textId="3EBA56B7" w:rsidR="0005336B" w:rsidRPr="00C87B49" w:rsidRDefault="0005336B" w:rsidP="00C87B49">
      <w:pPr>
        <w:spacing w:after="120"/>
        <w:jc w:val="both"/>
        <w:rPr>
          <w:rFonts w:asciiTheme="minorHAnsi" w:hAnsiTheme="minorHAnsi" w:cstheme="minorHAnsi"/>
          <w:lang w:val="en-US" w:bidi="th-TH"/>
        </w:rPr>
      </w:pPr>
      <w:r w:rsidRPr="00C87B49">
        <w:rPr>
          <w:rFonts w:asciiTheme="minorHAnsi" w:hAnsiTheme="minorHAnsi" w:cstheme="minorHAnsi"/>
          <w:lang w:val="en-US" w:bidi="th-TH"/>
        </w:rPr>
        <w:t xml:space="preserve">This study is designed to </w:t>
      </w:r>
      <w:proofErr w:type="spellStart"/>
      <w:r w:rsidRPr="00C87B49">
        <w:rPr>
          <w:rFonts w:asciiTheme="minorHAnsi" w:hAnsiTheme="minorHAnsi" w:cstheme="minorHAnsi"/>
          <w:lang w:val="en-US" w:bidi="th-TH"/>
        </w:rPr>
        <w:t>synthesise</w:t>
      </w:r>
      <w:proofErr w:type="spellEnd"/>
      <w:r w:rsidRPr="00C87B49">
        <w:rPr>
          <w:rFonts w:asciiTheme="minorHAnsi" w:hAnsiTheme="minorHAnsi" w:cstheme="minorHAnsi"/>
          <w:lang w:val="en-US" w:bidi="th-TH"/>
        </w:rPr>
        <w:t xml:space="preserve"> existing data</w:t>
      </w:r>
      <w:r w:rsidRPr="00C87B49">
        <w:rPr>
          <w:rFonts w:asciiTheme="minorHAnsi" w:hAnsiTheme="minorHAnsi" w:cstheme="minorHAnsi"/>
          <w:cs/>
          <w:lang w:val="en-US" w:bidi="th-TH"/>
        </w:rPr>
        <w:t xml:space="preserve"> </w:t>
      </w:r>
      <w:r w:rsidRPr="00C87B49">
        <w:rPr>
          <w:rFonts w:asciiTheme="minorHAnsi" w:hAnsiTheme="minorHAnsi" w:cstheme="minorHAnsi"/>
          <w:lang w:val="en-US" w:bidi="th-TH"/>
        </w:rPr>
        <w:t xml:space="preserve">in the desktop study stage from two major sources, the </w:t>
      </w:r>
      <w:proofErr w:type="spellStart"/>
      <w:r w:rsidRPr="00C87B49">
        <w:rPr>
          <w:rFonts w:asciiTheme="minorHAnsi" w:hAnsiTheme="minorHAnsi" w:cstheme="minorHAnsi"/>
          <w:lang w:val="en-US" w:bidi="th-TH"/>
        </w:rPr>
        <w:t>WaterConnect</w:t>
      </w:r>
      <w:proofErr w:type="spellEnd"/>
      <w:r w:rsidRPr="00C87B49">
        <w:rPr>
          <w:rFonts w:asciiTheme="minorHAnsi" w:hAnsiTheme="minorHAnsi" w:cstheme="minorHAnsi"/>
          <w:lang w:val="en-US" w:bidi="th-TH"/>
        </w:rPr>
        <w:t xml:space="preserve"> website and the scanned microfiche images managed by the South Australian government. The primary aquifers at </w:t>
      </w:r>
      <w:proofErr w:type="spellStart"/>
      <w:r w:rsidRPr="00C87B49">
        <w:rPr>
          <w:rFonts w:asciiTheme="minorHAnsi" w:hAnsiTheme="minorHAnsi" w:cstheme="minorHAnsi"/>
          <w:lang w:val="en-US" w:bidi="th-TH"/>
        </w:rPr>
        <w:t>Iga</w:t>
      </w:r>
      <w:proofErr w:type="spellEnd"/>
      <w:r w:rsidRPr="00C87B49">
        <w:rPr>
          <w:rFonts w:asciiTheme="minorHAnsi" w:hAnsiTheme="minorHAnsi" w:cstheme="minorHAnsi"/>
          <w:lang w:val="en-US" w:bidi="th-TH"/>
        </w:rPr>
        <w:t xml:space="preserve"> Warta, Leigh Creek Station, </w:t>
      </w:r>
      <w:proofErr w:type="spellStart"/>
      <w:r w:rsidRPr="00C87B49">
        <w:rPr>
          <w:rFonts w:asciiTheme="minorHAnsi" w:hAnsiTheme="minorHAnsi" w:cstheme="minorHAnsi"/>
          <w:lang w:val="en-US" w:bidi="th-TH"/>
        </w:rPr>
        <w:t>Kakalpurannha</w:t>
      </w:r>
      <w:proofErr w:type="spellEnd"/>
      <w:r w:rsidRPr="00C87B49">
        <w:rPr>
          <w:rFonts w:asciiTheme="minorHAnsi" w:hAnsiTheme="minorHAnsi" w:cstheme="minorHAnsi"/>
          <w:lang w:val="en-US" w:bidi="th-TH"/>
        </w:rPr>
        <w:t xml:space="preserve">, and </w:t>
      </w:r>
      <w:proofErr w:type="spellStart"/>
      <w:r w:rsidRPr="00C87B49">
        <w:rPr>
          <w:rFonts w:asciiTheme="minorHAnsi" w:hAnsiTheme="minorHAnsi" w:cstheme="minorHAnsi"/>
          <w:lang w:val="en-US" w:bidi="th-TH"/>
        </w:rPr>
        <w:t>Yappala</w:t>
      </w:r>
      <w:proofErr w:type="spellEnd"/>
      <w:r w:rsidRPr="00C87B49">
        <w:rPr>
          <w:rFonts w:asciiTheme="minorHAnsi" w:hAnsiTheme="minorHAnsi" w:cstheme="minorHAnsi"/>
          <w:lang w:val="en-US" w:bidi="th-TH"/>
        </w:rPr>
        <w:t xml:space="preserve"> are </w:t>
      </w:r>
      <w:proofErr w:type="spellStart"/>
      <w:r w:rsidRPr="00C87B49">
        <w:rPr>
          <w:rFonts w:asciiTheme="minorHAnsi" w:hAnsiTheme="minorHAnsi" w:cstheme="minorHAnsi"/>
          <w:lang w:val="en-US" w:bidi="th-TH"/>
        </w:rPr>
        <w:t>Wilkawillina</w:t>
      </w:r>
      <w:proofErr w:type="spellEnd"/>
      <w:r w:rsidRPr="00C87B49">
        <w:rPr>
          <w:rFonts w:asciiTheme="minorHAnsi" w:hAnsiTheme="minorHAnsi" w:cstheme="minorHAnsi"/>
          <w:lang w:val="en-US" w:bidi="th-TH"/>
        </w:rPr>
        <w:t xml:space="preserve"> Limestone, </w:t>
      </w:r>
      <w:proofErr w:type="spellStart"/>
      <w:r w:rsidRPr="00C87B49">
        <w:rPr>
          <w:rFonts w:asciiTheme="minorHAnsi" w:hAnsiTheme="minorHAnsi" w:cstheme="minorHAnsi"/>
          <w:lang w:val="en-US" w:bidi="th-TH"/>
        </w:rPr>
        <w:t>Angepena</w:t>
      </w:r>
      <w:proofErr w:type="spellEnd"/>
      <w:r w:rsidRPr="00C87B49">
        <w:rPr>
          <w:rFonts w:asciiTheme="minorHAnsi" w:hAnsiTheme="minorHAnsi" w:cstheme="minorHAnsi"/>
          <w:lang w:val="en-US" w:bidi="th-TH"/>
        </w:rPr>
        <w:t xml:space="preserve"> Formation, </w:t>
      </w:r>
      <w:proofErr w:type="spellStart"/>
      <w:r w:rsidRPr="00C87B49">
        <w:rPr>
          <w:rFonts w:asciiTheme="minorHAnsi" w:hAnsiTheme="minorHAnsi" w:cstheme="minorHAnsi"/>
          <w:lang w:val="en-US" w:bidi="th-TH"/>
        </w:rPr>
        <w:t>Wonoka</w:t>
      </w:r>
      <w:proofErr w:type="spellEnd"/>
      <w:r w:rsidRPr="00C87B49">
        <w:rPr>
          <w:rFonts w:asciiTheme="minorHAnsi" w:hAnsiTheme="minorHAnsi" w:cstheme="minorHAnsi"/>
          <w:lang w:val="en-US" w:bidi="th-TH"/>
        </w:rPr>
        <w:t xml:space="preserve"> Formation, and Bonn</w:t>
      </w:r>
      <w:r w:rsidR="00B92E55">
        <w:rPr>
          <w:rFonts w:asciiTheme="minorHAnsi" w:hAnsiTheme="minorHAnsi" w:cstheme="minorHAnsi"/>
          <w:lang w:val="en-US" w:bidi="th-TH"/>
        </w:rPr>
        <w:t>e</w:t>
      </w:r>
      <w:r w:rsidRPr="00C87B49">
        <w:rPr>
          <w:rFonts w:asciiTheme="minorHAnsi" w:hAnsiTheme="minorHAnsi" w:cstheme="minorHAnsi"/>
          <w:lang w:val="en-US" w:bidi="th-TH"/>
        </w:rPr>
        <w:t xml:space="preserve">y Sandstone, respectively. These fractured rock aquifers are formed of different types of lithologies, resulting in diverse capacities to yield groundwater, and giving unique characteristics in groundwater quality. The </w:t>
      </w:r>
      <w:proofErr w:type="spellStart"/>
      <w:r w:rsidRPr="00C87B49">
        <w:rPr>
          <w:rFonts w:asciiTheme="minorHAnsi" w:hAnsiTheme="minorHAnsi" w:cstheme="minorHAnsi"/>
          <w:lang w:val="en-US" w:bidi="th-TH"/>
        </w:rPr>
        <w:t>Wilkawillina</w:t>
      </w:r>
      <w:proofErr w:type="spellEnd"/>
      <w:r w:rsidRPr="00C87B49">
        <w:rPr>
          <w:rFonts w:asciiTheme="minorHAnsi" w:hAnsiTheme="minorHAnsi" w:cstheme="minorHAnsi"/>
          <w:lang w:val="en-US" w:bidi="th-TH"/>
        </w:rPr>
        <w:t xml:space="preserve"> Limestone aquifer has a higher groundwater yield than the other three aquifers, with an average discharge rate of 6.73 L/sec, although it has the potential to provide groundwater of over 10 L/sec. The </w:t>
      </w:r>
      <w:proofErr w:type="spellStart"/>
      <w:r w:rsidRPr="00C87B49">
        <w:rPr>
          <w:rFonts w:asciiTheme="minorHAnsi" w:hAnsiTheme="minorHAnsi" w:cstheme="minorHAnsi"/>
          <w:lang w:val="en-US" w:bidi="th-TH"/>
        </w:rPr>
        <w:t>Angepena</w:t>
      </w:r>
      <w:proofErr w:type="spellEnd"/>
      <w:r w:rsidRPr="00C87B49">
        <w:rPr>
          <w:rFonts w:asciiTheme="minorHAnsi" w:hAnsiTheme="minorHAnsi" w:cstheme="minorHAnsi"/>
          <w:lang w:val="en-US" w:bidi="th-TH"/>
        </w:rPr>
        <w:t xml:space="preserve"> Formation, primarily comprised of shale and siltstone, and </w:t>
      </w:r>
      <w:proofErr w:type="spellStart"/>
      <w:r w:rsidRPr="00C87B49">
        <w:rPr>
          <w:rFonts w:asciiTheme="minorHAnsi" w:hAnsiTheme="minorHAnsi" w:cstheme="minorHAnsi"/>
          <w:lang w:val="en-US" w:bidi="th-TH"/>
        </w:rPr>
        <w:t>Wonoka</w:t>
      </w:r>
      <w:proofErr w:type="spellEnd"/>
      <w:r w:rsidRPr="00C87B49">
        <w:rPr>
          <w:rFonts w:asciiTheme="minorHAnsi" w:hAnsiTheme="minorHAnsi" w:cstheme="minorHAnsi"/>
          <w:lang w:val="en-US" w:bidi="th-TH"/>
        </w:rPr>
        <w:t xml:space="preserve"> Formations, predominantly formed of shale and limestone, have similar groundwater production capabilities, with a mean rate of 1.3 L/sec. The maximum rate of yield from these two aquifers is around 10 L/sec. The Bonn</w:t>
      </w:r>
      <w:r w:rsidR="00B92E55">
        <w:rPr>
          <w:rFonts w:asciiTheme="minorHAnsi" w:hAnsiTheme="minorHAnsi" w:cstheme="minorHAnsi"/>
          <w:lang w:val="en-US" w:bidi="th-TH"/>
        </w:rPr>
        <w:t>e</w:t>
      </w:r>
      <w:r w:rsidRPr="00C87B49">
        <w:rPr>
          <w:rFonts w:asciiTheme="minorHAnsi" w:hAnsiTheme="minorHAnsi" w:cstheme="minorHAnsi"/>
          <w:lang w:val="en-US" w:bidi="th-TH"/>
        </w:rPr>
        <w:t>y Sandstone has an average well yield rate of less than 1 L/sec and lacks the capacity to supply groundwater at a rate of higher than 3 L/sec.</w:t>
      </w:r>
      <w:r w:rsidRPr="00C87B49">
        <w:rPr>
          <w:rFonts w:asciiTheme="minorHAnsi" w:hAnsiTheme="minorHAnsi" w:cstheme="minorHAnsi"/>
          <w:color w:val="FF6699"/>
          <w:lang w:val="en-US" w:bidi="th-TH"/>
        </w:rPr>
        <w:t xml:space="preserve"> </w:t>
      </w:r>
      <w:r w:rsidRPr="00C87B49">
        <w:rPr>
          <w:rFonts w:asciiTheme="minorHAnsi" w:hAnsiTheme="minorHAnsi" w:cstheme="minorHAnsi"/>
          <w:lang w:val="en-US" w:bidi="th-TH"/>
        </w:rPr>
        <w:t xml:space="preserve">All four aquifer formations have unique characteristics in groundwater chemistry. The </w:t>
      </w:r>
      <w:proofErr w:type="spellStart"/>
      <w:r w:rsidRPr="00C87B49">
        <w:rPr>
          <w:rFonts w:asciiTheme="minorHAnsi" w:hAnsiTheme="minorHAnsi" w:cstheme="minorHAnsi"/>
          <w:lang w:val="en-US" w:bidi="th-TH"/>
        </w:rPr>
        <w:t>Wilkiwillina</w:t>
      </w:r>
      <w:proofErr w:type="spellEnd"/>
      <w:r w:rsidRPr="00C87B49">
        <w:rPr>
          <w:rFonts w:asciiTheme="minorHAnsi" w:hAnsiTheme="minorHAnsi" w:cstheme="minorHAnsi"/>
          <w:lang w:val="en-US" w:bidi="th-TH"/>
        </w:rPr>
        <w:t xml:space="preserve"> Limestone aquifer exhibits a signature </w:t>
      </w:r>
      <w:r w:rsidRPr="00C87B49">
        <w:rPr>
          <w:rFonts w:asciiTheme="minorHAnsi" w:hAnsiTheme="minorHAnsi" w:cstheme="minorHAnsi"/>
          <w:lang w:val="en-US"/>
        </w:rPr>
        <w:t>of pronounced hardness, chloride, and sodium in its groundwater</w:t>
      </w:r>
      <w:r w:rsidRPr="00C87B49">
        <w:rPr>
          <w:rFonts w:asciiTheme="minorHAnsi" w:hAnsiTheme="minorHAnsi" w:cstheme="minorHAnsi"/>
          <w:cs/>
          <w:lang w:val="en-US" w:bidi="th-TH"/>
        </w:rPr>
        <w:t>.</w:t>
      </w:r>
      <w:r w:rsidRPr="00C87B49">
        <w:rPr>
          <w:rFonts w:asciiTheme="minorHAnsi" w:hAnsiTheme="minorHAnsi" w:cstheme="minorHAnsi"/>
          <w:lang w:val="en-US" w:bidi="th-TH"/>
        </w:rPr>
        <w:t xml:space="preserve"> The </w:t>
      </w:r>
      <w:proofErr w:type="spellStart"/>
      <w:r w:rsidRPr="00C87B49">
        <w:rPr>
          <w:rFonts w:asciiTheme="minorHAnsi" w:hAnsiTheme="minorHAnsi" w:cstheme="minorHAnsi"/>
          <w:lang w:val="en-US" w:bidi="th-TH"/>
        </w:rPr>
        <w:t>Angepena</w:t>
      </w:r>
      <w:proofErr w:type="spellEnd"/>
      <w:r w:rsidRPr="00C87B49">
        <w:rPr>
          <w:rFonts w:asciiTheme="minorHAnsi" w:hAnsiTheme="minorHAnsi" w:cstheme="minorHAnsi"/>
          <w:lang w:val="en-US" w:bidi="th-TH"/>
        </w:rPr>
        <w:t xml:space="preserve"> Formation aquifer has </w:t>
      </w:r>
      <w:r w:rsidRPr="00C87B49">
        <w:rPr>
          <w:rFonts w:asciiTheme="minorHAnsi" w:hAnsiTheme="minorHAnsi" w:cstheme="minorHAnsi"/>
          <w:lang w:val="en-US"/>
        </w:rPr>
        <w:t xml:space="preserve">an identity of distinguished chloride, hardness, and sodium content, while </w:t>
      </w:r>
      <w:r w:rsidRPr="00C87B49">
        <w:rPr>
          <w:rFonts w:asciiTheme="minorHAnsi" w:hAnsiTheme="minorHAnsi" w:cstheme="minorHAnsi"/>
          <w:lang w:val="en-US" w:bidi="th-TH"/>
        </w:rPr>
        <w:t xml:space="preserve">groundwater abstracted from </w:t>
      </w:r>
      <w:r w:rsidRPr="00C87B49">
        <w:rPr>
          <w:rFonts w:asciiTheme="minorHAnsi" w:hAnsiTheme="minorHAnsi" w:cstheme="minorHAnsi"/>
          <w:lang w:val="en-US"/>
        </w:rPr>
        <w:t xml:space="preserve">the </w:t>
      </w:r>
      <w:proofErr w:type="spellStart"/>
      <w:r w:rsidRPr="00C87B49">
        <w:rPr>
          <w:rFonts w:asciiTheme="minorHAnsi" w:hAnsiTheme="minorHAnsi" w:cstheme="minorHAnsi"/>
          <w:lang w:val="en-US"/>
        </w:rPr>
        <w:t>Wonoka</w:t>
      </w:r>
      <w:proofErr w:type="spellEnd"/>
      <w:r w:rsidRPr="00C87B49">
        <w:rPr>
          <w:rFonts w:asciiTheme="minorHAnsi" w:hAnsiTheme="minorHAnsi" w:cstheme="minorHAnsi"/>
          <w:lang w:val="en-US"/>
        </w:rPr>
        <w:t xml:space="preserve"> Formation aquifer presents its outstanding sodium, hardness, and chloride. Nevertheless, the lack of available water chemistry data prevents the identification of a groundwater quality signature from the Bonney Sandstone aquifer. Additionally, the groundwater from the four fractured rock aquifers </w:t>
      </w:r>
      <w:r w:rsidRPr="00C87B49">
        <w:rPr>
          <w:rFonts w:asciiTheme="minorHAnsi" w:hAnsiTheme="minorHAnsi" w:cstheme="minorHAnsi"/>
          <w:lang w:val="en-US" w:bidi="th-TH"/>
        </w:rPr>
        <w:t xml:space="preserve">is unsuitable for consumption due to its physical and chemical characteristics above the values specified in the Australian Drinking Water Guidelines, including chloride, hardness, sodium, sulphate, total dissolved solids, and nitrate, although this groundwater remains suitable for non-potable application. </w:t>
      </w:r>
      <w:proofErr w:type="gramStart"/>
      <w:r w:rsidRPr="00C87B49">
        <w:rPr>
          <w:rFonts w:asciiTheme="minorHAnsi" w:hAnsiTheme="minorHAnsi" w:cstheme="minorHAnsi"/>
          <w:lang w:val="en-US" w:bidi="th-TH"/>
        </w:rPr>
        <w:t>The development</w:t>
      </w:r>
      <w:proofErr w:type="gramEnd"/>
      <w:r w:rsidRPr="00C87B49">
        <w:rPr>
          <w:rFonts w:asciiTheme="minorHAnsi" w:hAnsiTheme="minorHAnsi" w:cstheme="minorHAnsi"/>
          <w:lang w:val="en-US" w:bidi="th-TH"/>
        </w:rPr>
        <w:t xml:space="preserve"> for future use is possible in terms of quantity since the fractured rock aquifers exhibit the potential to yield good volumes of groundwater. However, groundwater quality from all aquifers should be treated to ensure its safety for consumption and to enhance user satisfaction.</w:t>
      </w:r>
    </w:p>
    <w:p w14:paraId="27681212" w14:textId="77777777" w:rsidR="007466D0" w:rsidRPr="00C87B49" w:rsidRDefault="007466D0" w:rsidP="00C87B49">
      <w:pPr>
        <w:spacing w:after="120"/>
        <w:rPr>
          <w:rFonts w:ascii="Calibri" w:hAnsi="Calibri" w:cs="Calibri"/>
          <w:lang w:val="en-US"/>
        </w:rPr>
      </w:pPr>
    </w:p>
    <w:p w14:paraId="37BAD201" w14:textId="182295EA" w:rsidR="00514B15" w:rsidRPr="00C87B49" w:rsidRDefault="007466D0" w:rsidP="007466D0">
      <w:pPr>
        <w:rPr>
          <w:rFonts w:ascii="Calibri" w:hAnsi="Calibri" w:cs="Calibri"/>
          <w:lang w:val="en-US"/>
        </w:rPr>
      </w:pPr>
      <w:r w:rsidRPr="00C87B49">
        <w:rPr>
          <w:rFonts w:ascii="Calibri" w:hAnsi="Calibri" w:cs="Calibri"/>
          <w:b/>
          <w:bCs/>
          <w:lang w:val="en-US"/>
        </w:rPr>
        <w:t xml:space="preserve">Keywords: </w:t>
      </w:r>
      <w:r w:rsidR="0005336B" w:rsidRPr="00C87B49">
        <w:rPr>
          <w:rFonts w:ascii="Calibri" w:hAnsi="Calibri" w:cs="Calibri"/>
          <w:lang w:val="en-US"/>
        </w:rPr>
        <w:t>Fractured rock aquifers</w:t>
      </w:r>
      <w:r w:rsidRPr="00C87B49">
        <w:rPr>
          <w:rFonts w:ascii="Calibri" w:hAnsi="Calibri" w:cs="Calibri"/>
          <w:lang w:val="en-US"/>
        </w:rPr>
        <w:t xml:space="preserve">; </w:t>
      </w:r>
      <w:r w:rsidR="0094799E">
        <w:rPr>
          <w:rFonts w:ascii="Calibri" w:hAnsi="Calibri" w:cs="Calibri"/>
          <w:lang w:val="en-US"/>
        </w:rPr>
        <w:t>Groundwater y</w:t>
      </w:r>
      <w:r w:rsidR="0005336B" w:rsidRPr="00C87B49">
        <w:rPr>
          <w:rFonts w:ascii="Calibri" w:hAnsi="Calibri" w:cs="Calibri"/>
          <w:lang w:val="en-US"/>
        </w:rPr>
        <w:t>ield</w:t>
      </w:r>
      <w:r w:rsidRPr="00C87B49">
        <w:rPr>
          <w:rFonts w:ascii="Calibri" w:hAnsi="Calibri" w:cs="Calibri"/>
          <w:lang w:val="en-US"/>
        </w:rPr>
        <w:t xml:space="preserve">; </w:t>
      </w:r>
      <w:r w:rsidR="0094799E">
        <w:rPr>
          <w:rFonts w:ascii="Calibri" w:hAnsi="Calibri" w:cs="Calibri"/>
          <w:lang w:val="en-US"/>
        </w:rPr>
        <w:t>Groundwater q</w:t>
      </w:r>
      <w:r w:rsidR="0005336B" w:rsidRPr="00C87B49">
        <w:rPr>
          <w:rFonts w:ascii="Calibri" w:hAnsi="Calibri" w:cs="Calibri"/>
          <w:lang w:val="en-US"/>
        </w:rPr>
        <w:t>uality</w:t>
      </w:r>
    </w:p>
    <w:p w14:paraId="7C276002" w14:textId="77777777" w:rsidR="00E269DB" w:rsidRPr="00C87B49" w:rsidRDefault="00E269DB" w:rsidP="00E269DB">
      <w:pPr>
        <w:rPr>
          <w:rFonts w:ascii="Calibri" w:hAnsi="Calibri" w:cs="Calibri"/>
          <w:sz w:val="20"/>
          <w:szCs w:val="20"/>
          <w:lang w:val="en-US"/>
        </w:rPr>
      </w:pPr>
    </w:p>
    <w:sectPr w:rsidR="00E269DB" w:rsidRPr="00C87B49" w:rsidSect="00C87B49">
      <w:type w:val="continuous"/>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D4EC8" w14:textId="77777777" w:rsidR="008C41EE" w:rsidRDefault="008C41EE" w:rsidP="00283357">
      <w:r>
        <w:separator/>
      </w:r>
    </w:p>
  </w:endnote>
  <w:endnote w:type="continuationSeparator" w:id="0">
    <w:p w14:paraId="349A8F72" w14:textId="77777777" w:rsidR="008C41EE" w:rsidRDefault="008C41EE" w:rsidP="0028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Corpo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6C8FA" w14:textId="77777777" w:rsidR="008C41EE" w:rsidRDefault="008C41EE" w:rsidP="00283357">
      <w:r>
        <w:separator/>
      </w:r>
    </w:p>
  </w:footnote>
  <w:footnote w:type="continuationSeparator" w:id="0">
    <w:p w14:paraId="61C4A4D4" w14:textId="77777777" w:rsidR="008C41EE" w:rsidRDefault="008C41EE" w:rsidP="00283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0MjQzMTcAEhYWZko6SsGpxcWZ+XkgBYa1ANAFJUosAAAA"/>
  </w:docVars>
  <w:rsids>
    <w:rsidRoot w:val="00E269DB"/>
    <w:rsid w:val="00031E73"/>
    <w:rsid w:val="00052560"/>
    <w:rsid w:val="0005336B"/>
    <w:rsid w:val="000C1D4B"/>
    <w:rsid w:val="000E6427"/>
    <w:rsid w:val="0010106C"/>
    <w:rsid w:val="00173A03"/>
    <w:rsid w:val="001A77DD"/>
    <w:rsid w:val="001F25C1"/>
    <w:rsid w:val="0023029C"/>
    <w:rsid w:val="00283357"/>
    <w:rsid w:val="00293C32"/>
    <w:rsid w:val="002C4122"/>
    <w:rsid w:val="002F4286"/>
    <w:rsid w:val="00326AF6"/>
    <w:rsid w:val="00352047"/>
    <w:rsid w:val="003813FC"/>
    <w:rsid w:val="00381C36"/>
    <w:rsid w:val="00382230"/>
    <w:rsid w:val="00395119"/>
    <w:rsid w:val="003C0117"/>
    <w:rsid w:val="003C7532"/>
    <w:rsid w:val="003C7895"/>
    <w:rsid w:val="003D0603"/>
    <w:rsid w:val="004307B7"/>
    <w:rsid w:val="00503E78"/>
    <w:rsid w:val="00514B15"/>
    <w:rsid w:val="00524027"/>
    <w:rsid w:val="00531204"/>
    <w:rsid w:val="00542B46"/>
    <w:rsid w:val="00591D0F"/>
    <w:rsid w:val="0059560C"/>
    <w:rsid w:val="005A5897"/>
    <w:rsid w:val="00611BC5"/>
    <w:rsid w:val="00617B54"/>
    <w:rsid w:val="00663777"/>
    <w:rsid w:val="007466D0"/>
    <w:rsid w:val="0077096B"/>
    <w:rsid w:val="00771F84"/>
    <w:rsid w:val="0082613A"/>
    <w:rsid w:val="008C0EEA"/>
    <w:rsid w:val="008C41EE"/>
    <w:rsid w:val="009018EF"/>
    <w:rsid w:val="00920AFC"/>
    <w:rsid w:val="0094799E"/>
    <w:rsid w:val="0098343B"/>
    <w:rsid w:val="009A3930"/>
    <w:rsid w:val="009C266F"/>
    <w:rsid w:val="009F7948"/>
    <w:rsid w:val="00A27781"/>
    <w:rsid w:val="00A74863"/>
    <w:rsid w:val="00A77698"/>
    <w:rsid w:val="00A94BA6"/>
    <w:rsid w:val="00B92E55"/>
    <w:rsid w:val="00BC239B"/>
    <w:rsid w:val="00BC52B0"/>
    <w:rsid w:val="00BD2446"/>
    <w:rsid w:val="00BE15E7"/>
    <w:rsid w:val="00BE4B17"/>
    <w:rsid w:val="00BE7B15"/>
    <w:rsid w:val="00C01D4A"/>
    <w:rsid w:val="00C8147F"/>
    <w:rsid w:val="00C87B49"/>
    <w:rsid w:val="00CA132F"/>
    <w:rsid w:val="00CA26AE"/>
    <w:rsid w:val="00CA6443"/>
    <w:rsid w:val="00CD00D6"/>
    <w:rsid w:val="00CE5723"/>
    <w:rsid w:val="00D037A7"/>
    <w:rsid w:val="00D127DE"/>
    <w:rsid w:val="00D35359"/>
    <w:rsid w:val="00D732D8"/>
    <w:rsid w:val="00D81427"/>
    <w:rsid w:val="00D846A1"/>
    <w:rsid w:val="00DA6F43"/>
    <w:rsid w:val="00DC1B57"/>
    <w:rsid w:val="00E01AB6"/>
    <w:rsid w:val="00E2060F"/>
    <w:rsid w:val="00E269DB"/>
    <w:rsid w:val="00E3459F"/>
    <w:rsid w:val="00E53D38"/>
    <w:rsid w:val="00E62919"/>
    <w:rsid w:val="00E62E7A"/>
    <w:rsid w:val="00EA2A88"/>
    <w:rsid w:val="00EB05A8"/>
    <w:rsid w:val="00EB741F"/>
    <w:rsid w:val="00EC2EEC"/>
    <w:rsid w:val="00EF0969"/>
    <w:rsid w:val="00F20EDE"/>
    <w:rsid w:val="00F36AAB"/>
    <w:rsid w:val="00F65CE0"/>
    <w:rsid w:val="00FF40B5"/>
  </w:rsids>
  <m:mathPr>
    <m:mathFont m:val="Cambria Math"/>
    <m:brkBin m:val="before"/>
    <m:brkBinSub m:val="--"/>
    <m:smallFrac m:val="0"/>
    <m:dispDef/>
    <m:lMargin m:val="0"/>
    <m:rMargin m:val="0"/>
    <m:defJc m:val="centerGroup"/>
    <m:wrapIndent m:val="1440"/>
    <m:intLim m:val="subSup"/>
    <m:naryLim m:val="undOvr"/>
  </m:mathPr>
  <w:themeFontLang w:val="pt-BR"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EF0E96"/>
  <w15:chartTrackingRefBased/>
  <w15:docId w15:val="{580EB263-57D5-8F47-8D7E-A09AB6B9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Theme="minorEastAsia" w:hAnsi="Franklin Gothic Book" w:cs="Times New Roman (Corpo CS)"/>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9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69DB"/>
    <w:rPr>
      <w:rFonts w:ascii="Times New Roman" w:hAnsi="Times New Roman" w:cs="Times New Roman"/>
      <w:sz w:val="18"/>
      <w:szCs w:val="18"/>
    </w:rPr>
  </w:style>
  <w:style w:type="paragraph" w:styleId="Header">
    <w:name w:val="header"/>
    <w:basedOn w:val="Normal"/>
    <w:link w:val="HeaderChar"/>
    <w:uiPriority w:val="99"/>
    <w:unhideWhenUsed/>
    <w:rsid w:val="002833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3357"/>
    <w:rPr>
      <w:sz w:val="18"/>
      <w:szCs w:val="18"/>
    </w:rPr>
  </w:style>
  <w:style w:type="paragraph" w:styleId="Footer">
    <w:name w:val="footer"/>
    <w:basedOn w:val="Normal"/>
    <w:link w:val="FooterChar"/>
    <w:uiPriority w:val="99"/>
    <w:unhideWhenUsed/>
    <w:rsid w:val="0028335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3357"/>
    <w:rPr>
      <w:sz w:val="18"/>
      <w:szCs w:val="18"/>
    </w:rPr>
  </w:style>
  <w:style w:type="character" w:styleId="Hyperlink">
    <w:name w:val="Hyperlink"/>
    <w:basedOn w:val="DefaultParagraphFont"/>
    <w:uiPriority w:val="99"/>
    <w:unhideWhenUsed/>
    <w:rsid w:val="003D0603"/>
    <w:rPr>
      <w:color w:val="0563C1" w:themeColor="hyperlink"/>
      <w:u w:val="single"/>
    </w:rPr>
  </w:style>
  <w:style w:type="character" w:styleId="UnresolvedMention">
    <w:name w:val="Unresolved Mention"/>
    <w:basedOn w:val="DefaultParagraphFont"/>
    <w:uiPriority w:val="99"/>
    <w:semiHidden/>
    <w:unhideWhenUsed/>
    <w:rsid w:val="003D0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511</Words>
  <Characters>3128</Characters>
  <Application>Microsoft Office Word</Application>
  <DocSecurity>0</DocSecurity>
  <Lines>47</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CORDEIRO (MCI Sao Paulo)</dc:creator>
  <cp:keywords/>
  <dc:description/>
  <cp:lastModifiedBy>Natchanok Ounping</cp:lastModifiedBy>
  <cp:revision>18</cp:revision>
  <dcterms:created xsi:type="dcterms:W3CDTF">2024-04-30T09:23:00Z</dcterms:created>
  <dcterms:modified xsi:type="dcterms:W3CDTF">2024-07-13T06:01:00Z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642bfcd0cf98a82afe268739705255857c362ba99e5cbe71abd7f85a56fc2201</vt:lpwstr>
  </property>
</Properties>
</file>