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DB" w:rsidRPr="00BE7B15" w:rsidRDefault="00EC3A61" w:rsidP="00EC3A61">
      <w:pPr>
        <w:rPr>
          <w:rFonts w:ascii="Calibri" w:hAnsi="Calibri" w:cs="Calibri"/>
          <w:b/>
          <w:bCs/>
          <w:sz w:val="28"/>
          <w:szCs w:val="28"/>
          <w:lang w:val="en-US"/>
        </w:rPr>
      </w:pPr>
      <w:r w:rsidRPr="00EC3A61">
        <w:rPr>
          <w:rFonts w:ascii="Calibri" w:hAnsi="Calibri" w:cs="Calibri"/>
          <w:b/>
          <w:bCs/>
          <w:sz w:val="28"/>
          <w:szCs w:val="28"/>
          <w:lang w:val="en-US"/>
        </w:rPr>
        <w:t>Geophysical Prospecting of Groundwater in the Middle Atlas of Morocco: Study Case</w:t>
      </w:r>
      <w:r w:rsidR="00E269DB" w:rsidRPr="00BE7B15">
        <w:rPr>
          <w:rFonts w:ascii="Calibri" w:hAnsi="Calibri" w:cs="Calibri"/>
          <w:b/>
          <w:bCs/>
          <w:sz w:val="28"/>
          <w:szCs w:val="28"/>
          <w:lang w:val="en-US"/>
        </w:rPr>
        <w:t>.</w:t>
      </w:r>
    </w:p>
    <w:p w:rsidR="00E269DB" w:rsidRPr="00BE7B15" w:rsidRDefault="00E269DB" w:rsidP="00E269DB">
      <w:pPr>
        <w:rPr>
          <w:rFonts w:ascii="Calibri" w:hAnsi="Calibri" w:cs="Calibri"/>
          <w:b/>
          <w:bCs/>
          <w:lang w:val="en-US"/>
        </w:rPr>
      </w:pPr>
    </w:p>
    <w:p w:rsidR="00E269DB" w:rsidRPr="00BE7B15" w:rsidRDefault="00EC3A61" w:rsidP="00E269DB">
      <w:pPr>
        <w:rPr>
          <w:rFonts w:ascii="Calibri" w:hAnsi="Calibri" w:cs="Calibri"/>
          <w:lang w:val="en-US"/>
        </w:rPr>
      </w:pPr>
      <w:r w:rsidRPr="00EC3A61">
        <w:rPr>
          <w:rFonts w:ascii="Calibri" w:hAnsi="Calibri" w:cs="Calibri"/>
          <w:lang w:val="en-US"/>
        </w:rPr>
        <w:t>Mohamed Rouai</w:t>
      </w:r>
      <w:r w:rsidRPr="00EC3A61">
        <w:rPr>
          <w:rFonts w:ascii="Calibri" w:hAnsi="Calibri" w:cs="Calibri"/>
          <w:vertAlign w:val="superscript"/>
          <w:lang w:val="en-US"/>
        </w:rPr>
        <w:t>1</w:t>
      </w:r>
      <w:r w:rsidRPr="00EC3A61">
        <w:rPr>
          <w:rFonts w:ascii="Calibri" w:hAnsi="Calibri" w:cs="Calibri"/>
          <w:lang w:val="en-US"/>
        </w:rPr>
        <w:t>; Khaoula Qarqori</w:t>
      </w:r>
      <w:r w:rsidRPr="00EC3A61">
        <w:rPr>
          <w:rFonts w:ascii="Calibri" w:hAnsi="Calibri" w:cs="Calibri"/>
          <w:vertAlign w:val="superscript"/>
          <w:lang w:val="en-US"/>
        </w:rPr>
        <w:t>2</w:t>
      </w:r>
      <w:r w:rsidRPr="00EC3A61">
        <w:rPr>
          <w:rFonts w:ascii="Calibri" w:hAnsi="Calibri" w:cs="Calibri"/>
          <w:lang w:val="en-US"/>
        </w:rPr>
        <w:t>; Mustapha Boujamaoui</w:t>
      </w:r>
      <w:r w:rsidRPr="00EC3A61">
        <w:rPr>
          <w:rFonts w:ascii="Calibri" w:hAnsi="Calibri" w:cs="Calibri"/>
          <w:vertAlign w:val="superscript"/>
          <w:lang w:val="en-US"/>
        </w:rPr>
        <w:t>1</w:t>
      </w:r>
      <w:r w:rsidRPr="00EC3A61">
        <w:rPr>
          <w:rFonts w:ascii="Calibri" w:hAnsi="Calibri" w:cs="Calibri"/>
          <w:lang w:val="en-US"/>
        </w:rPr>
        <w:t>; Abdelilah Dekayir</w:t>
      </w:r>
      <w:r w:rsidRPr="00EC3A61">
        <w:rPr>
          <w:rFonts w:ascii="Calibri" w:hAnsi="Calibri" w:cs="Calibri"/>
          <w:vertAlign w:val="superscript"/>
          <w:lang w:val="en-US"/>
        </w:rPr>
        <w:t>1</w:t>
      </w:r>
    </w:p>
    <w:p w:rsidR="00E269DB" w:rsidRPr="00BE7B15" w:rsidRDefault="00E269DB" w:rsidP="00E269DB">
      <w:pPr>
        <w:rPr>
          <w:rFonts w:ascii="Calibri" w:hAnsi="Calibri" w:cs="Calibri"/>
          <w:b/>
          <w:bCs/>
          <w:lang w:val="en-US"/>
        </w:rPr>
      </w:pPr>
    </w:p>
    <w:p w:rsidR="005F173A" w:rsidRPr="005F173A" w:rsidRDefault="005F173A" w:rsidP="005F173A">
      <w:pPr>
        <w:jc w:val="both"/>
        <w:rPr>
          <w:rFonts w:ascii="Calibri" w:hAnsi="Calibri" w:cs="Calibri"/>
          <w:lang w:val="en-US"/>
        </w:rPr>
      </w:pPr>
      <w:r w:rsidRPr="005F173A">
        <w:rPr>
          <w:rFonts w:ascii="Calibri" w:hAnsi="Calibri" w:cs="Calibri"/>
          <w:vertAlign w:val="superscript"/>
          <w:lang w:val="en-US"/>
        </w:rPr>
        <w:t>1</w:t>
      </w:r>
      <w:r>
        <w:rPr>
          <w:rFonts w:ascii="Calibri" w:hAnsi="Calibri" w:cs="Calibri"/>
          <w:vertAlign w:val="superscript"/>
          <w:lang w:val="en-US"/>
        </w:rPr>
        <w:t xml:space="preserve"> </w:t>
      </w:r>
      <w:r w:rsidRPr="005F173A">
        <w:rPr>
          <w:rFonts w:ascii="Calibri" w:hAnsi="Calibri" w:cs="Calibri"/>
          <w:lang w:val="en-US"/>
        </w:rPr>
        <w:t>Earth Sciences Department, Faculty of Sciences of Meknes, Moulay Ismail University of Meknes. PO Box 11201 Zitoune 50000, Meknes, Morocco</w:t>
      </w:r>
      <w:r>
        <w:rPr>
          <w:rFonts w:ascii="Calibri" w:hAnsi="Calibri" w:cs="Calibri"/>
          <w:lang w:val="en-US"/>
        </w:rPr>
        <w:t>.</w:t>
      </w:r>
    </w:p>
    <w:p w:rsidR="005F173A" w:rsidRPr="005F173A" w:rsidRDefault="005F173A" w:rsidP="005F173A">
      <w:pPr>
        <w:rPr>
          <w:rFonts w:ascii="Calibri" w:hAnsi="Calibri" w:cs="Calibri"/>
          <w:lang w:val="en-US"/>
        </w:rPr>
      </w:pPr>
      <w:r w:rsidRPr="005F173A">
        <w:rPr>
          <w:rFonts w:ascii="Calibri" w:hAnsi="Calibri" w:cs="Calibri"/>
          <w:vertAlign w:val="superscript"/>
          <w:lang w:val="en-US"/>
        </w:rPr>
        <w:t>2</w:t>
      </w:r>
      <w:r>
        <w:rPr>
          <w:rFonts w:ascii="Calibri" w:hAnsi="Calibri" w:cs="Calibri"/>
          <w:vertAlign w:val="superscript"/>
          <w:lang w:val="en-US"/>
        </w:rPr>
        <w:t xml:space="preserve"> </w:t>
      </w:r>
      <w:r w:rsidRPr="005F173A">
        <w:rPr>
          <w:rFonts w:ascii="Calibri" w:hAnsi="Calibri" w:cs="Calibri"/>
          <w:lang w:val="en-US"/>
        </w:rPr>
        <w:t>Earth Sciences Department, Faculty of Sciences and Techniques of Errachidia, Moulay Ismail University of Meknes, PO Box 59, Boutalamine, Errachidia, Morocco</w:t>
      </w:r>
      <w:r>
        <w:rPr>
          <w:rFonts w:ascii="Calibri" w:hAnsi="Calibri" w:cs="Calibri"/>
          <w:lang w:val="en-US"/>
        </w:rPr>
        <w:t>.</w:t>
      </w:r>
    </w:p>
    <w:p w:rsidR="00E269DB" w:rsidRPr="00BE7B15" w:rsidRDefault="00E269DB" w:rsidP="001F25C1">
      <w:pPr>
        <w:ind w:left="142" w:hanging="142"/>
        <w:jc w:val="both"/>
        <w:rPr>
          <w:rFonts w:ascii="Calibri" w:hAnsi="Calibri" w:cs="Calibri"/>
          <w:vertAlign w:val="superscript"/>
          <w:lang w:val="en-US"/>
        </w:rPr>
      </w:pPr>
    </w:p>
    <w:p w:rsidR="00E269DB" w:rsidRDefault="00E269DB" w:rsidP="002C41B2">
      <w:pPr>
        <w:rPr>
          <w:rFonts w:ascii="Calibri" w:hAnsi="Calibri" w:cs="Calibri"/>
          <w:lang w:val="en-US"/>
        </w:rPr>
      </w:pPr>
      <w:r w:rsidRPr="00BE7B15">
        <w:rPr>
          <w:rFonts w:ascii="Calibri" w:hAnsi="Calibri" w:cs="Calibri"/>
          <w:b/>
          <w:bCs/>
          <w:lang w:val="en-US"/>
        </w:rPr>
        <w:t>Corresponding Author(</w:t>
      </w:r>
      <w:r w:rsidRPr="002C41B2">
        <w:rPr>
          <w:rFonts w:ascii="Calibri" w:hAnsi="Calibri" w:cs="Calibri"/>
          <w:lang w:val="en-US"/>
        </w:rPr>
        <w:t>s)</w:t>
      </w:r>
      <w:r w:rsidRPr="002C41B2">
        <w:rPr>
          <w:rFonts w:ascii="Calibri" w:hAnsi="Calibri" w:cs="Calibri"/>
          <w:b/>
          <w:bCs/>
          <w:lang w:val="en-US"/>
        </w:rPr>
        <w:t>:</w:t>
      </w:r>
      <w:r w:rsidRPr="002C41B2">
        <w:rPr>
          <w:rFonts w:ascii="Calibri" w:hAnsi="Calibri" w:cs="Calibri"/>
          <w:lang w:val="en-US"/>
        </w:rPr>
        <w:t xml:space="preserve"> </w:t>
      </w:r>
      <w:r w:rsidR="002C41B2" w:rsidRPr="002C41B2">
        <w:rPr>
          <w:rFonts w:ascii="Calibri" w:hAnsi="Calibri" w:cs="Calibri"/>
          <w:lang w:val="en-US"/>
        </w:rPr>
        <w:t>mohamed.rouai@gmail.com</w:t>
      </w:r>
      <w:r w:rsidR="002C41B2">
        <w:rPr>
          <w:rFonts w:ascii="Calibri" w:hAnsi="Calibri" w:cs="Calibri"/>
          <w:lang w:val="en-US"/>
        </w:rPr>
        <w:t xml:space="preserve"> , </w:t>
      </w:r>
      <w:r w:rsidR="002C41B2" w:rsidRPr="002C41B2">
        <w:rPr>
          <w:rFonts w:ascii="Calibri" w:hAnsi="Calibri" w:cs="Calibri"/>
          <w:lang w:val="en-US"/>
        </w:rPr>
        <w:t>m.rouai@umi.ac.ma</w:t>
      </w:r>
      <w:r w:rsidR="002C41B2" w:rsidRPr="00BE7B15">
        <w:rPr>
          <w:rFonts w:ascii="Calibri" w:hAnsi="Calibri" w:cs="Calibri"/>
          <w:lang w:val="en-US"/>
        </w:rPr>
        <w:t xml:space="preserve"> </w:t>
      </w:r>
    </w:p>
    <w:p w:rsidR="002C41B2" w:rsidRPr="00BE7B15" w:rsidRDefault="002C41B2" w:rsidP="002C41B2">
      <w:pPr>
        <w:rPr>
          <w:rFonts w:ascii="Calibri" w:hAnsi="Calibri" w:cs="Calibri"/>
          <w:b/>
          <w:bCs/>
          <w:lang w:val="en-US"/>
        </w:rPr>
      </w:pPr>
    </w:p>
    <w:p w:rsidR="004239DE" w:rsidRPr="003849BA" w:rsidRDefault="004239DE" w:rsidP="004239DE">
      <w:pPr>
        <w:autoSpaceDE w:val="0"/>
        <w:autoSpaceDN w:val="0"/>
        <w:adjustRightInd w:val="0"/>
        <w:jc w:val="both"/>
        <w:rPr>
          <w:rFonts w:asciiTheme="minorHAnsi" w:hAnsiTheme="minorHAnsi" w:cstheme="minorHAnsi"/>
          <w:lang w:val="en-US"/>
        </w:rPr>
      </w:pPr>
      <w:r w:rsidRPr="003849BA">
        <w:rPr>
          <w:rFonts w:asciiTheme="minorHAnsi" w:hAnsiTheme="minorHAnsi" w:cstheme="minorHAnsi"/>
          <w:lang w:val="en-US"/>
        </w:rPr>
        <w:t>The Tabular Middle Atlas reservoir is one of the most important aquifers in northern Morocco. It is mainly a water table fractured and karstic reservoir consisting mainly of Lias limestones. The matrix permeability is very low and water flows essentially along open fractures and karsts</w:t>
      </w:r>
    </w:p>
    <w:p w:rsidR="004239DE" w:rsidRPr="003849BA" w:rsidRDefault="004239DE" w:rsidP="004239DE">
      <w:pPr>
        <w:pStyle w:val="NormalWeb"/>
        <w:spacing w:before="0" w:beforeAutospacing="0" w:after="0" w:afterAutospacing="0"/>
        <w:jc w:val="both"/>
        <w:rPr>
          <w:rFonts w:asciiTheme="minorHAnsi" w:eastAsiaTheme="minorEastAsia" w:hAnsiTheme="minorHAnsi" w:cstheme="minorHAnsi"/>
          <w:lang w:val="en-US" w:eastAsia="en-US"/>
        </w:rPr>
      </w:pPr>
      <w:r w:rsidRPr="003849BA">
        <w:rPr>
          <w:rFonts w:asciiTheme="minorHAnsi" w:eastAsiaTheme="minorEastAsia" w:hAnsiTheme="minorHAnsi" w:cstheme="minorHAnsi"/>
          <w:lang w:val="en-US" w:eastAsia="en-US"/>
        </w:rPr>
        <w:t xml:space="preserve">The Bittit spring, with an average annual discharge of about 1600 l/s, belongs to this karstic system and constitutes an important aquifer lying at the junction between the tabular reservoir and the Sais basin. </w:t>
      </w:r>
    </w:p>
    <w:p w:rsidR="004239DE" w:rsidRPr="003849BA" w:rsidRDefault="004239DE" w:rsidP="004239DE">
      <w:pPr>
        <w:pStyle w:val="NormalWeb"/>
        <w:spacing w:before="0" w:beforeAutospacing="0" w:after="0" w:afterAutospacing="0"/>
        <w:jc w:val="both"/>
        <w:rPr>
          <w:rFonts w:asciiTheme="minorHAnsi" w:eastAsiaTheme="minorEastAsia" w:hAnsiTheme="minorHAnsi" w:cstheme="minorHAnsi"/>
          <w:lang w:val="en-US" w:eastAsia="en-US"/>
        </w:rPr>
      </w:pPr>
      <w:r w:rsidRPr="003849BA">
        <w:rPr>
          <w:rFonts w:asciiTheme="minorHAnsi" w:eastAsiaTheme="minorEastAsia" w:hAnsiTheme="minorHAnsi" w:cstheme="minorHAnsi"/>
          <w:lang w:val="en-US" w:eastAsia="en-US"/>
        </w:rPr>
        <w:t>Groundwater circulation is complex due to tectonics and to karstic Quaternary travertine overlying Lias carbonate in some areas. Up to now water flow paths and the underground karst organization remain misunderstood.</w:t>
      </w:r>
    </w:p>
    <w:p w:rsidR="004239DE" w:rsidRPr="003849BA" w:rsidRDefault="004239DE" w:rsidP="004239DE">
      <w:pPr>
        <w:pStyle w:val="NormalWeb"/>
        <w:spacing w:before="0" w:beforeAutospacing="0" w:after="0" w:afterAutospacing="0"/>
        <w:jc w:val="both"/>
        <w:rPr>
          <w:rFonts w:asciiTheme="minorHAnsi" w:eastAsiaTheme="minorEastAsia" w:hAnsiTheme="minorHAnsi" w:cstheme="minorHAnsi"/>
          <w:lang w:val="en-US" w:eastAsia="en-US"/>
        </w:rPr>
      </w:pPr>
      <w:r w:rsidRPr="003849BA">
        <w:rPr>
          <w:rFonts w:asciiTheme="minorHAnsi" w:eastAsiaTheme="minorEastAsia" w:hAnsiTheme="minorHAnsi" w:cstheme="minorHAnsi"/>
          <w:lang w:val="en-US" w:eastAsia="en-US"/>
        </w:rPr>
        <w:t xml:space="preserve">To highlight these issues a geophysical prospection was performed in this karstic area including electrical, microgravity and electromagnetic surveys. </w:t>
      </w:r>
    </w:p>
    <w:p w:rsidR="004239DE" w:rsidRPr="003849BA" w:rsidRDefault="004239DE" w:rsidP="004239DE">
      <w:pPr>
        <w:autoSpaceDE w:val="0"/>
        <w:jc w:val="both"/>
        <w:rPr>
          <w:rFonts w:asciiTheme="minorHAnsi" w:hAnsiTheme="minorHAnsi" w:cstheme="minorHAnsi"/>
          <w:lang w:val="en-US"/>
        </w:rPr>
      </w:pPr>
      <w:r w:rsidRPr="003849BA">
        <w:rPr>
          <w:rFonts w:asciiTheme="minorHAnsi" w:hAnsiTheme="minorHAnsi" w:cstheme="minorHAnsi"/>
          <w:lang w:val="en-US"/>
        </w:rPr>
        <w:t>The geophysical imaging was carried out mainly by electrical resistivity tomography (ERT), allowing to detect, delineate important fractures and also to the characterization of the underground reservoir.</w:t>
      </w:r>
    </w:p>
    <w:p w:rsidR="004239DE" w:rsidRPr="003849BA" w:rsidRDefault="004239DE" w:rsidP="004239DE">
      <w:pPr>
        <w:autoSpaceDE w:val="0"/>
        <w:jc w:val="both"/>
        <w:rPr>
          <w:rFonts w:asciiTheme="minorHAnsi" w:hAnsiTheme="minorHAnsi" w:cstheme="minorHAnsi"/>
          <w:lang w:val="en-US"/>
        </w:rPr>
      </w:pPr>
      <w:r w:rsidRPr="003849BA">
        <w:rPr>
          <w:rFonts w:asciiTheme="minorHAnsi" w:hAnsiTheme="minorHAnsi" w:cstheme="minorHAnsi"/>
          <w:lang w:val="en-US"/>
        </w:rPr>
        <w:t xml:space="preserve">Geophysical scans and interpreted fractures have been displayed with Gocad software leading to geometrical construction of aquifer units and to 3D modelling of subsurface architecture. </w:t>
      </w:r>
    </w:p>
    <w:p w:rsidR="004239DE" w:rsidRPr="003849BA" w:rsidRDefault="004239DE" w:rsidP="004239DE">
      <w:pPr>
        <w:autoSpaceDE w:val="0"/>
        <w:jc w:val="both"/>
        <w:rPr>
          <w:rFonts w:asciiTheme="minorHAnsi" w:hAnsiTheme="minorHAnsi" w:cstheme="minorHAnsi"/>
          <w:lang w:val="en-US"/>
        </w:rPr>
      </w:pPr>
      <w:r w:rsidRPr="003849BA">
        <w:rPr>
          <w:rFonts w:asciiTheme="minorHAnsi" w:hAnsiTheme="minorHAnsi" w:cstheme="minorHAnsi"/>
          <w:lang w:val="en-US"/>
        </w:rPr>
        <w:t>Two sub-vertical fault families with NE-SW and NW-SE trends respectively were identified and correspond to the known geological evolution of the region. This fracture network highlighted dislocation of the blocks of underground substratum leading to a graben-like structure. It was shown that the NE-SW faults cannot be related to the mean spring and thus do not constitute draining features. The preferential flow is meanly on the SE-NW direction.</w:t>
      </w:r>
    </w:p>
    <w:p w:rsidR="004239DE" w:rsidRPr="003849BA" w:rsidRDefault="004239DE" w:rsidP="004239DE">
      <w:pPr>
        <w:pStyle w:val="NormalWeb"/>
        <w:spacing w:before="0" w:beforeAutospacing="0" w:after="0" w:afterAutospacing="0"/>
        <w:jc w:val="both"/>
        <w:rPr>
          <w:rFonts w:asciiTheme="minorHAnsi" w:eastAsiaTheme="minorEastAsia" w:hAnsiTheme="minorHAnsi" w:cstheme="minorHAnsi"/>
          <w:lang w:val="en-US" w:eastAsia="en-US"/>
        </w:rPr>
      </w:pPr>
      <w:r w:rsidRPr="003849BA">
        <w:rPr>
          <w:rFonts w:asciiTheme="minorHAnsi" w:eastAsiaTheme="minorEastAsia" w:hAnsiTheme="minorHAnsi" w:cstheme="minorHAnsi"/>
          <w:lang w:val="en-US" w:eastAsia="en-US"/>
        </w:rPr>
        <w:t xml:space="preserve">Additional geophysical investigations were also performed in order to discriminate between dry and </w:t>
      </w:r>
      <w:r w:rsidR="008327E5" w:rsidRPr="003849BA">
        <w:rPr>
          <w:rFonts w:asciiTheme="minorHAnsi" w:eastAsiaTheme="minorEastAsia" w:hAnsiTheme="minorHAnsi" w:cstheme="minorHAnsi"/>
          <w:lang w:val="en-US" w:eastAsia="en-US"/>
        </w:rPr>
        <w:t>favorable</w:t>
      </w:r>
      <w:r w:rsidRPr="003849BA">
        <w:rPr>
          <w:rFonts w:asciiTheme="minorHAnsi" w:eastAsiaTheme="minorEastAsia" w:hAnsiTheme="minorHAnsi" w:cstheme="minorHAnsi"/>
          <w:lang w:val="en-US" w:eastAsia="en-US"/>
        </w:rPr>
        <w:t xml:space="preserve"> hydrological fractures.</w:t>
      </w:r>
    </w:p>
    <w:p w:rsidR="004239DE" w:rsidRPr="003849BA" w:rsidRDefault="004239DE" w:rsidP="004239DE">
      <w:pPr>
        <w:pStyle w:val="NormalWeb"/>
        <w:spacing w:before="0" w:beforeAutospacing="0" w:after="0" w:afterAutospacing="0"/>
        <w:jc w:val="both"/>
        <w:rPr>
          <w:rFonts w:asciiTheme="minorHAnsi" w:eastAsiaTheme="minorEastAsia" w:hAnsiTheme="minorHAnsi" w:cstheme="minorHAnsi"/>
          <w:lang w:val="en-US" w:eastAsia="en-US"/>
        </w:rPr>
      </w:pPr>
      <w:r w:rsidRPr="003849BA">
        <w:rPr>
          <w:rFonts w:asciiTheme="minorHAnsi" w:eastAsiaTheme="minorEastAsia" w:hAnsiTheme="minorHAnsi" w:cstheme="minorHAnsi"/>
          <w:lang w:val="en-US" w:eastAsia="en-US"/>
        </w:rPr>
        <w:t xml:space="preserve">This case study in the Middle Atlas discontinuous aquifer aims contributing to improve water resources management and reducing aquifer vulnerability in the region. </w:t>
      </w:r>
    </w:p>
    <w:p w:rsidR="004239DE" w:rsidRPr="00BE7B15" w:rsidRDefault="004239DE" w:rsidP="003C7895">
      <w:pPr>
        <w:jc w:val="both"/>
        <w:rPr>
          <w:rFonts w:ascii="Calibri" w:hAnsi="Calibri" w:cs="Calibri"/>
          <w:lang w:val="en-US"/>
        </w:rPr>
      </w:pPr>
    </w:p>
    <w:p w:rsidR="0077096B" w:rsidRPr="00BE7B15" w:rsidRDefault="0077096B" w:rsidP="003C7895">
      <w:pPr>
        <w:jc w:val="both"/>
        <w:rPr>
          <w:rFonts w:ascii="Calibri" w:hAnsi="Calibri" w:cs="Calibri"/>
          <w:lang w:val="en-US"/>
        </w:rPr>
      </w:pPr>
    </w:p>
    <w:p w:rsidR="00514B15" w:rsidRPr="00BE7B15" w:rsidRDefault="007466D0" w:rsidP="008327E5">
      <w:pPr>
        <w:rPr>
          <w:rFonts w:ascii="Calibri" w:hAnsi="Calibri" w:cs="Calibri"/>
          <w:lang w:val="en-US"/>
        </w:rPr>
      </w:pPr>
      <w:r w:rsidRPr="00BE7B15">
        <w:rPr>
          <w:rFonts w:ascii="Calibri" w:hAnsi="Calibri" w:cs="Calibri"/>
          <w:b/>
          <w:bCs/>
          <w:lang w:val="en-US"/>
        </w:rPr>
        <w:t xml:space="preserve">Keywords: </w:t>
      </w:r>
      <w:r w:rsidR="008327E5" w:rsidRPr="008327E5">
        <w:rPr>
          <w:rFonts w:ascii="Calibri" w:hAnsi="Calibri" w:cs="Calibri"/>
          <w:lang w:val="en-US"/>
        </w:rPr>
        <w:t xml:space="preserve">Groundwater; </w:t>
      </w:r>
      <w:r w:rsidR="008327E5">
        <w:rPr>
          <w:rFonts w:ascii="Calibri" w:hAnsi="Calibri" w:cs="Calibri"/>
          <w:lang w:val="en-US"/>
        </w:rPr>
        <w:t>Fractured reservoir; Geophysical prospecting; Middle Atlas</w:t>
      </w:r>
      <w:r w:rsidRPr="00BE7B15">
        <w:rPr>
          <w:rFonts w:ascii="Calibri" w:hAnsi="Calibri" w:cs="Calibri"/>
          <w:lang w:val="en-US"/>
        </w:rPr>
        <w:t xml:space="preserve">; </w:t>
      </w:r>
      <w:r w:rsidR="008327E5">
        <w:rPr>
          <w:rFonts w:ascii="Calibri" w:hAnsi="Calibri" w:cs="Calibri"/>
          <w:lang w:val="en-US"/>
        </w:rPr>
        <w:t>Morocco.</w:t>
      </w:r>
    </w:p>
    <w:p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471" w:rsidRDefault="00441471" w:rsidP="00283357">
      <w:r>
        <w:separator/>
      </w:r>
    </w:p>
  </w:endnote>
  <w:endnote w:type="continuationSeparator" w:id="1">
    <w:p w:rsidR="00441471" w:rsidRDefault="00441471" w:rsidP="00283357">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等线">
    <w:altName w:val="MS PMincho"/>
    <w:panose1 w:val="00000000000000000000"/>
    <w:charset w:val="80"/>
    <w:family w:val="roman"/>
    <w:notTrueType/>
    <w:pitch w:val="default"/>
    <w:sig w:usb0="00000000" w:usb1="00000000" w:usb2="00000000" w:usb3="00000000" w:csb0="00000000" w:csb1="00000000"/>
  </w:font>
  <w:font w:name="Times New Roman (Corpo CS)">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471" w:rsidRDefault="00441471" w:rsidP="00283357">
      <w:r>
        <w:separator/>
      </w:r>
    </w:p>
  </w:footnote>
  <w:footnote w:type="continuationSeparator" w:id="1">
    <w:p w:rsidR="00441471" w:rsidRDefault="00441471" w:rsidP="002833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4098"/>
  </w:hdrShapeDefaults>
  <w:footnotePr>
    <w:footnote w:id="0"/>
    <w:footnote w:id="1"/>
  </w:footnotePr>
  <w:endnotePr>
    <w:endnote w:id="0"/>
    <w:endnote w:id="1"/>
  </w:endnotePr>
  <w:compat>
    <w:applyBreakingRules/>
    <w:useFELayout/>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C1D4B"/>
    <w:rsid w:val="000E6427"/>
    <w:rsid w:val="0010106C"/>
    <w:rsid w:val="001F25C1"/>
    <w:rsid w:val="0023029C"/>
    <w:rsid w:val="00283357"/>
    <w:rsid w:val="00293C32"/>
    <w:rsid w:val="002C41B2"/>
    <w:rsid w:val="002F4286"/>
    <w:rsid w:val="00326AF6"/>
    <w:rsid w:val="00352047"/>
    <w:rsid w:val="00381C36"/>
    <w:rsid w:val="00382230"/>
    <w:rsid w:val="00395119"/>
    <w:rsid w:val="003C0117"/>
    <w:rsid w:val="003C7532"/>
    <w:rsid w:val="003C7895"/>
    <w:rsid w:val="003D0603"/>
    <w:rsid w:val="004239DE"/>
    <w:rsid w:val="004307B7"/>
    <w:rsid w:val="00441471"/>
    <w:rsid w:val="00503E78"/>
    <w:rsid w:val="00514B15"/>
    <w:rsid w:val="00524027"/>
    <w:rsid w:val="00531204"/>
    <w:rsid w:val="00591D0F"/>
    <w:rsid w:val="0059560C"/>
    <w:rsid w:val="005A5897"/>
    <w:rsid w:val="005C770F"/>
    <w:rsid w:val="005F173A"/>
    <w:rsid w:val="00611BC5"/>
    <w:rsid w:val="00663777"/>
    <w:rsid w:val="007466D0"/>
    <w:rsid w:val="0077096B"/>
    <w:rsid w:val="00771F84"/>
    <w:rsid w:val="0082613A"/>
    <w:rsid w:val="008327E5"/>
    <w:rsid w:val="008C0EEA"/>
    <w:rsid w:val="008F1775"/>
    <w:rsid w:val="00920AFC"/>
    <w:rsid w:val="0098343B"/>
    <w:rsid w:val="009A3930"/>
    <w:rsid w:val="009C266F"/>
    <w:rsid w:val="009F7948"/>
    <w:rsid w:val="00A27781"/>
    <w:rsid w:val="00A77698"/>
    <w:rsid w:val="00AF064D"/>
    <w:rsid w:val="00BC239B"/>
    <w:rsid w:val="00BC52B0"/>
    <w:rsid w:val="00BE15E7"/>
    <w:rsid w:val="00BE4B17"/>
    <w:rsid w:val="00BE7B15"/>
    <w:rsid w:val="00C8147F"/>
    <w:rsid w:val="00CA132F"/>
    <w:rsid w:val="00CA6443"/>
    <w:rsid w:val="00CD00D6"/>
    <w:rsid w:val="00CE5723"/>
    <w:rsid w:val="00D037A7"/>
    <w:rsid w:val="00D127DE"/>
    <w:rsid w:val="00D35359"/>
    <w:rsid w:val="00D732D8"/>
    <w:rsid w:val="00D81427"/>
    <w:rsid w:val="00D846A1"/>
    <w:rsid w:val="00DC1B57"/>
    <w:rsid w:val="00E2060F"/>
    <w:rsid w:val="00E269DB"/>
    <w:rsid w:val="00E3459F"/>
    <w:rsid w:val="00E62919"/>
    <w:rsid w:val="00E62E7A"/>
    <w:rsid w:val="00E748EA"/>
    <w:rsid w:val="00E9765E"/>
    <w:rsid w:val="00EA2A88"/>
    <w:rsid w:val="00EB05A8"/>
    <w:rsid w:val="00EB741F"/>
    <w:rsid w:val="00EC2EEC"/>
    <w:rsid w:val="00EC3A61"/>
    <w:rsid w:val="00EF0969"/>
    <w:rsid w:val="00F20EDE"/>
    <w:rsid w:val="00F36AAB"/>
    <w:rsid w:val="00F65CE0"/>
    <w:rsid w:val="00FF40B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269D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269DB"/>
    <w:rPr>
      <w:rFonts w:ascii="Times New Roman" w:hAnsi="Times New Roman" w:cs="Times New Roman"/>
      <w:sz w:val="18"/>
      <w:szCs w:val="18"/>
    </w:rPr>
  </w:style>
  <w:style w:type="paragraph" w:styleId="En-tte">
    <w:name w:val="header"/>
    <w:basedOn w:val="Normal"/>
    <w:link w:val="En-tteC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283357"/>
    <w:rPr>
      <w:sz w:val="18"/>
      <w:szCs w:val="18"/>
    </w:rPr>
  </w:style>
  <w:style w:type="paragraph" w:styleId="Pieddepage">
    <w:name w:val="footer"/>
    <w:basedOn w:val="Normal"/>
    <w:link w:val="PieddepageCar"/>
    <w:uiPriority w:val="99"/>
    <w:unhideWhenUsed/>
    <w:rsid w:val="00283357"/>
    <w:pPr>
      <w:tabs>
        <w:tab w:val="center" w:pos="4153"/>
        <w:tab w:val="right" w:pos="8306"/>
      </w:tabs>
      <w:snapToGrid w:val="0"/>
    </w:pPr>
    <w:rPr>
      <w:sz w:val="18"/>
      <w:szCs w:val="18"/>
    </w:rPr>
  </w:style>
  <w:style w:type="character" w:customStyle="1" w:styleId="PieddepageCar">
    <w:name w:val="Pied de page Car"/>
    <w:basedOn w:val="Policepardfaut"/>
    <w:link w:val="Pieddepage"/>
    <w:uiPriority w:val="99"/>
    <w:rsid w:val="00283357"/>
    <w:rPr>
      <w:sz w:val="18"/>
      <w:szCs w:val="18"/>
    </w:rPr>
  </w:style>
  <w:style w:type="character" w:styleId="Lienhypertexte">
    <w:name w:val="Hyperlink"/>
    <w:basedOn w:val="Policepardfaut"/>
    <w:uiPriority w:val="99"/>
    <w:unhideWhenUsed/>
    <w:rsid w:val="003D0603"/>
    <w:rPr>
      <w:color w:val="0563C1" w:themeColor="hyperlink"/>
      <w:u w:val="single"/>
    </w:rPr>
  </w:style>
  <w:style w:type="character" w:customStyle="1" w:styleId="UnresolvedMention">
    <w:name w:val="Unresolved Mention"/>
    <w:basedOn w:val="Policepardfaut"/>
    <w:uiPriority w:val="99"/>
    <w:semiHidden/>
    <w:unhideWhenUsed/>
    <w:rsid w:val="003D0603"/>
    <w:rPr>
      <w:color w:val="605E5C"/>
      <w:shd w:val="clear" w:color="auto" w:fill="E1DFDD"/>
    </w:rPr>
  </w:style>
  <w:style w:type="paragraph" w:styleId="NormalWeb">
    <w:name w:val="Normal (Web)"/>
    <w:basedOn w:val="Normal"/>
    <w:rsid w:val="004239DE"/>
    <w:pPr>
      <w:spacing w:before="100" w:beforeAutospacing="1" w:after="100" w:afterAutospacing="1"/>
    </w:pPr>
    <w:rPr>
      <w:rFonts w:ascii="Times New Roman" w:eastAsia="Times New Roman" w:hAnsi="Times New Roman" w:cs="Times New Roman"/>
      <w:lang w:val="fr-FR"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2229</Characters>
  <Application>Microsoft Office Word</Application>
  <DocSecurity>0</DocSecurity>
  <Lines>18</Lines>
  <Paragraphs>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CORDEIRO (MCI Sao Paulo)</dc:creator>
  <cp:lastModifiedBy>h</cp:lastModifiedBy>
  <cp:revision>2</cp:revision>
  <dcterms:created xsi:type="dcterms:W3CDTF">2024-06-20T23:47:00Z</dcterms:created>
  <dcterms:modified xsi:type="dcterms:W3CDTF">2024-06-20T23:47:00Z</dcterms:modified>
</cp:coreProperties>
</file>