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FB586" w14:textId="77777777" w:rsidR="00E436CE" w:rsidRPr="00E1377B" w:rsidRDefault="00E436CE" w:rsidP="00E436CE">
      <w:pPr>
        <w:rPr>
          <w:rFonts w:ascii="Calibri" w:hAnsi="Calibri" w:cs="Calibri"/>
          <w:b/>
          <w:bCs/>
          <w:sz w:val="28"/>
        </w:rPr>
      </w:pPr>
      <w:bookmarkStart w:id="0" w:name="_Hlk169698349"/>
      <w:r w:rsidRPr="00AD05B3">
        <w:rPr>
          <w:rFonts w:ascii="Calibri" w:hAnsi="Calibri" w:cs="Calibri"/>
          <w:b/>
          <w:bCs/>
          <w:sz w:val="28"/>
        </w:rPr>
        <w:t>Enhancing efficiency in groundwater management with the Groundwater Control License (GCL)</w:t>
      </w:r>
      <w:r>
        <w:rPr>
          <w:rFonts w:ascii="Calibri" w:hAnsi="Calibri" w:cs="Calibri"/>
          <w:b/>
          <w:bCs/>
          <w:sz w:val="28"/>
        </w:rPr>
        <w:t xml:space="preserve"> System.</w:t>
      </w:r>
    </w:p>
    <w:p w14:paraId="2A73B451" w14:textId="3B0300BB" w:rsidR="00E436CE" w:rsidRPr="00E1377B" w:rsidRDefault="00E436CE" w:rsidP="00E436CE">
      <w:pPr>
        <w:rPr>
          <w:rFonts w:ascii="Calibri" w:hAnsi="Calibri" w:cs="Calibri"/>
          <w:color w:val="000000" w:themeColor="text1"/>
        </w:rPr>
      </w:pPr>
      <w:r w:rsidRPr="00AD05B3">
        <w:rPr>
          <w:rFonts w:ascii="Calibri" w:hAnsi="Calibri" w:cs="Calibri"/>
          <w:color w:val="000000" w:themeColor="text1"/>
        </w:rPr>
        <w:t>Benya Sunant</w:t>
      </w:r>
      <w:r w:rsidRPr="002F22EB">
        <w:rPr>
          <w:rFonts w:ascii="Calibri" w:hAnsi="Calibri" w:cs="Calibri"/>
          <w:color w:val="000000" w:themeColor="text1"/>
          <w:vertAlign w:val="superscript"/>
        </w:rPr>
        <w:t>1</w:t>
      </w:r>
      <w:r w:rsidRPr="00AD05B3">
        <w:rPr>
          <w:rFonts w:ascii="Calibri" w:hAnsi="Calibri" w:cs="Calibri"/>
          <w:color w:val="000000" w:themeColor="text1"/>
        </w:rPr>
        <w:t>; Suchart Chinwannachot</w:t>
      </w:r>
      <w:r w:rsidRPr="002F22EB">
        <w:rPr>
          <w:rFonts w:ascii="Calibri" w:hAnsi="Calibri" w:cs="Calibri"/>
          <w:color w:val="000000" w:themeColor="text1"/>
          <w:vertAlign w:val="superscript"/>
        </w:rPr>
        <w:t>1</w:t>
      </w:r>
      <w:r w:rsidRPr="00AD05B3">
        <w:rPr>
          <w:rFonts w:ascii="Calibri" w:hAnsi="Calibri" w:cs="Calibri"/>
          <w:color w:val="000000" w:themeColor="text1"/>
        </w:rPr>
        <w:t>; Chutinan Limpakarn</w:t>
      </w:r>
      <w:r>
        <w:rPr>
          <w:rFonts w:ascii="Calibri" w:hAnsi="Calibri" w:cs="Calibri"/>
          <w:color w:val="000000" w:themeColor="text1"/>
        </w:rPr>
        <w:t>wech</w:t>
      </w:r>
      <w:r w:rsidRPr="002F22EB">
        <w:rPr>
          <w:rFonts w:ascii="Calibri" w:hAnsi="Calibri" w:cs="Calibri"/>
          <w:color w:val="000000" w:themeColor="text1"/>
          <w:vertAlign w:val="superscript"/>
        </w:rPr>
        <w:t>1</w:t>
      </w:r>
      <w:r w:rsidRPr="00AD05B3">
        <w:rPr>
          <w:rFonts w:ascii="Calibri" w:hAnsi="Calibri" w:cs="Calibri"/>
          <w:color w:val="000000" w:themeColor="text1"/>
        </w:rPr>
        <w:t>; Pa</w:t>
      </w:r>
      <w:r w:rsidR="00111335">
        <w:rPr>
          <w:rFonts w:ascii="Calibri" w:hAnsi="Calibri" w:cs="Calibri"/>
          <w:color w:val="000000" w:themeColor="text1"/>
        </w:rPr>
        <w:t>t</w:t>
      </w:r>
      <w:r w:rsidRPr="00AD05B3">
        <w:rPr>
          <w:rFonts w:ascii="Calibri" w:hAnsi="Calibri" w:cs="Calibri"/>
          <w:color w:val="000000" w:themeColor="text1"/>
        </w:rPr>
        <w:t>chara T</w:t>
      </w:r>
      <w:r w:rsidR="00111335">
        <w:rPr>
          <w:rFonts w:ascii="Calibri" w:hAnsi="Calibri" w:cs="Calibri"/>
          <w:color w:val="000000" w:themeColor="text1"/>
        </w:rPr>
        <w:t>h</w:t>
      </w:r>
      <w:r w:rsidRPr="00AD05B3">
        <w:rPr>
          <w:rFonts w:ascii="Calibri" w:hAnsi="Calibri" w:cs="Calibri"/>
          <w:color w:val="000000" w:themeColor="text1"/>
        </w:rPr>
        <w:t>anpao</w:t>
      </w:r>
      <w:r w:rsidRPr="002F22EB">
        <w:rPr>
          <w:rFonts w:ascii="Calibri" w:hAnsi="Calibri" w:cs="Calibri"/>
          <w:color w:val="000000" w:themeColor="text1"/>
          <w:vertAlign w:val="superscript"/>
        </w:rPr>
        <w:t>1</w:t>
      </w:r>
      <w:r w:rsidRPr="00AD05B3">
        <w:rPr>
          <w:rFonts w:ascii="Calibri" w:hAnsi="Calibri" w:cs="Calibri"/>
          <w:color w:val="000000" w:themeColor="text1"/>
        </w:rPr>
        <w:t xml:space="preserve"> </w:t>
      </w:r>
    </w:p>
    <w:p w14:paraId="33D94AB6" w14:textId="77777777" w:rsidR="00E436CE" w:rsidRPr="00E1377B" w:rsidRDefault="00E436CE" w:rsidP="00E436CE">
      <w:pPr>
        <w:rPr>
          <w:rFonts w:ascii="Calibri" w:hAnsi="Calibri" w:cs="Calibri"/>
        </w:rPr>
      </w:pPr>
      <w:r w:rsidRPr="002F22EB">
        <w:rPr>
          <w:rFonts w:ascii="Calibri" w:hAnsi="Calibri" w:cs="Calibri"/>
          <w:vertAlign w:val="superscript"/>
        </w:rPr>
        <w:t>1</w:t>
      </w:r>
      <w:r>
        <w:rPr>
          <w:rFonts w:ascii="Calibri" w:hAnsi="Calibri" w:cs="Calibri"/>
        </w:rPr>
        <w:t>Department of Groundwater Resources, Bangkok, Thailand</w:t>
      </w:r>
    </w:p>
    <w:p w14:paraId="3214064E" w14:textId="77777777" w:rsidR="00E436CE" w:rsidRPr="00E1377B" w:rsidRDefault="00E436CE" w:rsidP="00E436CE">
      <w:pPr>
        <w:rPr>
          <w:rFonts w:ascii="Calibri" w:hAnsi="Calibri" w:cs="Calibri"/>
        </w:rPr>
      </w:pPr>
      <w:r w:rsidRPr="00BE7B15">
        <w:rPr>
          <w:rFonts w:ascii="Calibri" w:hAnsi="Calibri" w:cs="Calibri"/>
          <w:b/>
          <w:bCs/>
        </w:rPr>
        <w:t xml:space="preserve">Corresponding Author: </w:t>
      </w:r>
      <w:r>
        <w:rPr>
          <w:rFonts w:ascii="Calibri" w:hAnsi="Calibri" w:cs="Calibri"/>
        </w:rPr>
        <w:t>Benya4002@gmail.com</w:t>
      </w:r>
      <w:r w:rsidRPr="00BE7B15">
        <w:rPr>
          <w:rFonts w:ascii="Calibri" w:hAnsi="Calibri" w:cs="Calibri"/>
        </w:rPr>
        <w:t xml:space="preserve"> </w:t>
      </w:r>
    </w:p>
    <w:p w14:paraId="45429E2D" w14:textId="77777777" w:rsidR="00E436CE" w:rsidRPr="00AD05B3" w:rsidRDefault="00E436CE" w:rsidP="00E436CE">
      <w:pPr>
        <w:spacing w:after="120"/>
        <w:ind w:firstLine="708"/>
        <w:jc w:val="thaiDistribute"/>
        <w:rPr>
          <w:rFonts w:ascii="Calibri" w:hAnsi="Calibri" w:cs="Calibri"/>
        </w:rPr>
      </w:pPr>
      <w:r w:rsidRPr="00AD05B3">
        <w:rPr>
          <w:rFonts w:ascii="Calibri" w:hAnsi="Calibri" w:cs="Calibri"/>
        </w:rPr>
        <w:t>Groundwater Control is a part of department of groundwater resources that has principal missions to control groundwater operation in accordance with groundwater acts in 1977 including to service technical and academic information for supporting all state and private institutes in drilling groundwater permission, using groundwater permission, and discharge water into groundwater well meanwhile preserving groundwater resources to prevent natural resources and filled over groundwater well as well as being a central institute in regulate and oversee groundwater operation in the whole country, manage administrative of Groundwater Development Fund (GDF) and other projects to success objectives of GDF that is founded to allocate budget for the activities relevant to study, research, development and conservation of groundwater resources.</w:t>
      </w:r>
      <w:r>
        <w:rPr>
          <w:rFonts w:ascii="Calibri" w:hAnsi="Calibri" w:cs="Calibri"/>
        </w:rPr>
        <w:t xml:space="preserve"> </w:t>
      </w:r>
      <w:r w:rsidRPr="00AD05B3">
        <w:rPr>
          <w:rFonts w:ascii="Calibri" w:hAnsi="Calibri" w:cs="Calibri"/>
        </w:rPr>
        <w:t>Furthermore, to develop appropriate innovation and technology to enhance control of groundwater operations.</w:t>
      </w:r>
    </w:p>
    <w:p w14:paraId="27BAF4E6" w14:textId="77777777" w:rsidR="00E436CE" w:rsidRPr="00AD05B3" w:rsidRDefault="00E436CE" w:rsidP="00E436CE">
      <w:pPr>
        <w:spacing w:after="120"/>
        <w:ind w:firstLine="708"/>
        <w:jc w:val="thaiDistribute"/>
        <w:rPr>
          <w:rFonts w:ascii="Calibri" w:hAnsi="Calibri" w:cs="Calibri"/>
        </w:rPr>
      </w:pPr>
      <w:r w:rsidRPr="00AD05B3">
        <w:rPr>
          <w:rFonts w:ascii="Calibri" w:hAnsi="Calibri" w:cs="Calibri"/>
        </w:rPr>
        <w:t xml:space="preserve">All missions of Groundwater Control are collected as large data and information consist of groundwater drilling license, groundwater using license, request form, located investigated report, sealing groundwater well report, using groundwater report, history groundwater well report, revenue collection of groundwater use fee and groundwater conservation fee. Information technology is used as a tool to manage and keep all </w:t>
      </w:r>
      <w:r w:rsidRPr="00AD6E86">
        <w:rPr>
          <w:rFonts w:ascii="Calibri" w:hAnsi="Calibri" w:cs="Calibri"/>
          <w:color w:val="000000" w:themeColor="text1"/>
        </w:rPr>
        <w:t>data and documents in order in groundwater operations, called the Groundwater Control License (GCL). The capacity is to compute the quar</w:t>
      </w:r>
      <w:r w:rsidRPr="00AD6E86">
        <w:rPr>
          <w:rFonts w:ascii="Calibri" w:hAnsi="Calibri"/>
          <w:color w:val="000000" w:themeColor="text1"/>
          <w:szCs w:val="30"/>
        </w:rPr>
        <w:t xml:space="preserve">terly groundwater metering charge, groundwater conservation fee, and charging fine added to a system that was developed in 2010 to test groundwater management in Bangkok using information from private wells permission. </w:t>
      </w:r>
      <w:r w:rsidRPr="00AD6E86">
        <w:rPr>
          <w:rFonts w:ascii="Calibri" w:hAnsi="Calibri" w:cs="Calibri"/>
          <w:color w:val="000000" w:themeColor="text1"/>
        </w:rPr>
        <w:t>Furthermore, GCL was expanded to be used in six surrounding provinces, currently declared groundwater-critical areas</w:t>
      </w:r>
      <w:r w:rsidRPr="00AD6E86">
        <w:rPr>
          <w:rFonts w:ascii="Calibri" w:hAnsi="Calibri" w:cs="Leelawadee UI"/>
          <w:color w:val="000000" w:themeColor="text1"/>
          <w:szCs w:val="30"/>
        </w:rPr>
        <w:t>,</w:t>
      </w:r>
      <w:r w:rsidRPr="00AD6E86">
        <w:rPr>
          <w:rFonts w:ascii="Calibri" w:hAnsi="Calibri" w:cs="Calibri"/>
          <w:color w:val="000000" w:themeColor="text1"/>
        </w:rPr>
        <w:t xml:space="preserve"> and initiated electronic payment </w:t>
      </w:r>
      <w:r w:rsidRPr="00AD05B3">
        <w:rPr>
          <w:rFonts w:ascii="Calibri" w:hAnsi="Calibri" w:cs="Calibri"/>
        </w:rPr>
        <w:t>(E-Payment) in 2012. The system was enhanced in the region, beginning with three pilot provinces (Chaing Mai, Khon Kaen, and Nakhon Ratchasima) that transferred groundwater missions to provincial administrative organizations. In addition, GCL was expanded nationwide with the Bureau of Groundwater Resources (Regional 1–12) and the provincial offices of natural resources and environment, respectively.</w:t>
      </w:r>
    </w:p>
    <w:p w14:paraId="4A51D925" w14:textId="77777777" w:rsidR="00E436CE" w:rsidRPr="00AD05B3" w:rsidRDefault="00E436CE" w:rsidP="00E436CE">
      <w:pPr>
        <w:spacing w:after="120"/>
        <w:ind w:firstLine="708"/>
        <w:jc w:val="thaiDistribute"/>
        <w:rPr>
          <w:rFonts w:ascii="Calibri" w:hAnsi="Calibri" w:cs="Calibri"/>
        </w:rPr>
      </w:pPr>
      <w:r w:rsidRPr="00AD05B3">
        <w:rPr>
          <w:rFonts w:ascii="Calibri" w:hAnsi="Calibri" w:cs="Calibri"/>
        </w:rPr>
        <w:t xml:space="preserve">Nowadays, private groundwater wells are more than 142,500, divided by purpose of use: </w:t>
      </w:r>
      <w:r>
        <w:rPr>
          <w:rFonts w:ascii="Calibri" w:hAnsi="Calibri" w:cs="Calibri"/>
        </w:rPr>
        <w:t xml:space="preserve">domestic </w:t>
      </w:r>
      <w:r w:rsidRPr="00AD05B3">
        <w:rPr>
          <w:rFonts w:ascii="Calibri" w:hAnsi="Calibri" w:cs="Calibri"/>
        </w:rPr>
        <w:t>uses 39,380 wells, business uses 34,026 wells, and agriculture uses 69,103 wells. The effective system is helpful in managing permission data, collecting groundwater use fees, and collecting groundwater conservation fees. Moreover, GCL enhances data collection and data analysis methods, as well as decreasing human error and increasing the effectiveness of groundwater operations and management.</w:t>
      </w:r>
    </w:p>
    <w:p w14:paraId="4104461F" w14:textId="77777777" w:rsidR="00E436CE" w:rsidRPr="00BE7B15" w:rsidRDefault="00E436CE" w:rsidP="00E436CE">
      <w:pPr>
        <w:spacing w:after="120"/>
        <w:rPr>
          <w:rFonts w:ascii="Calibri" w:hAnsi="Calibri" w:cs="Calibri"/>
        </w:rPr>
      </w:pPr>
    </w:p>
    <w:p w14:paraId="5C02D965" w14:textId="77777777" w:rsidR="00E436CE" w:rsidRPr="00F45BAF" w:rsidRDefault="00E436CE" w:rsidP="00E436CE">
      <w:pPr>
        <w:rPr>
          <w:rFonts w:ascii="Calibri" w:hAnsi="Calibri"/>
          <w:sz w:val="32"/>
          <w:szCs w:val="32"/>
        </w:rPr>
      </w:pPr>
      <w:r w:rsidRPr="00BE7B15">
        <w:rPr>
          <w:rFonts w:ascii="Calibri" w:hAnsi="Calibri" w:cs="Calibri"/>
          <w:b/>
          <w:bCs/>
        </w:rPr>
        <w:t xml:space="preserve">Keywords: </w:t>
      </w:r>
      <w:r>
        <w:rPr>
          <w:rFonts w:ascii="Calibri" w:hAnsi="Calibri" w:cs="Calibri"/>
        </w:rPr>
        <w:t>Groundwater Control</w:t>
      </w:r>
      <w:r w:rsidRPr="00BE7B15">
        <w:rPr>
          <w:rFonts w:ascii="Calibri" w:hAnsi="Calibri" w:cs="Calibri"/>
        </w:rPr>
        <w:t>;</w:t>
      </w:r>
      <w:r>
        <w:rPr>
          <w:rFonts w:ascii="Calibri" w:hAnsi="Calibri" w:cs="Calibri"/>
        </w:rPr>
        <w:t xml:space="preserve"> Groundwater License</w:t>
      </w:r>
      <w:r w:rsidRPr="00BE7B15">
        <w:rPr>
          <w:rFonts w:ascii="Calibri" w:hAnsi="Calibri" w:cs="Calibri"/>
        </w:rPr>
        <w:t xml:space="preserve">; </w:t>
      </w:r>
      <w:r>
        <w:rPr>
          <w:rFonts w:ascii="Calibri" w:hAnsi="Calibri" w:cs="Calibri"/>
        </w:rPr>
        <w:t>Groundwater managemen</w:t>
      </w:r>
      <w:r>
        <w:rPr>
          <w:rFonts w:ascii="Calibri" w:hAnsi="Calibri" w:cs="Leelawadee UI"/>
          <w:szCs w:val="30"/>
        </w:rPr>
        <w:t>t</w:t>
      </w:r>
      <w:bookmarkEnd w:id="0"/>
    </w:p>
    <w:p w14:paraId="54D2F714" w14:textId="77777777" w:rsidR="000D037C" w:rsidRPr="00E436CE" w:rsidRDefault="000D037C"/>
    <w:sectPr w:rsidR="000D037C" w:rsidRPr="00E436CE" w:rsidSect="00E436C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CE"/>
    <w:rsid w:val="000D037C"/>
    <w:rsid w:val="00111335"/>
    <w:rsid w:val="004B5B3E"/>
    <w:rsid w:val="00636EC1"/>
    <w:rsid w:val="00761E23"/>
    <w:rsid w:val="00932628"/>
    <w:rsid w:val="00DC464F"/>
    <w:rsid w:val="00E436CE"/>
    <w:rsid w:val="00EC18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8E5F"/>
  <w15:chartTrackingRefBased/>
  <w15:docId w15:val="{DF72C4FC-BBA7-4A8E-910E-63D46AA4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3EB2-0AEB-40F6-9D91-A303E1F7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Benya Sunanta</dc:creator>
  <cp:keywords/>
  <dc:description/>
  <cp:lastModifiedBy>Benya Sunanta</cp:lastModifiedBy>
  <cp:revision>2</cp:revision>
  <dcterms:created xsi:type="dcterms:W3CDTF">2024-06-21T03:49:00Z</dcterms:created>
  <dcterms:modified xsi:type="dcterms:W3CDTF">2024-06-21T03:49:00Z</dcterms:modified>
</cp:coreProperties>
</file>