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BEF1E" w14:textId="2E5AE6A7" w:rsidR="00E269DB" w:rsidRPr="00BE7B15" w:rsidRDefault="00E269DB" w:rsidP="00E269DB">
      <w:pPr>
        <w:rPr>
          <w:rFonts w:ascii="Calibri" w:hAnsi="Calibri" w:cs="Calibri"/>
          <w:b/>
          <w:bCs/>
          <w:sz w:val="28"/>
          <w:szCs w:val="28"/>
          <w:lang w:val="en-US"/>
        </w:rPr>
      </w:pPr>
      <w:r w:rsidRPr="00BE7B15">
        <w:rPr>
          <w:rFonts w:ascii="Calibri" w:hAnsi="Calibri" w:cs="Calibri"/>
          <w:b/>
          <w:bCs/>
          <w:sz w:val="28"/>
          <w:szCs w:val="28"/>
          <w:lang w:val="en-US"/>
        </w:rPr>
        <w:t xml:space="preserve">Title. </w:t>
      </w:r>
      <w:r w:rsidR="007D79C3">
        <w:rPr>
          <w:rFonts w:ascii="Calibri" w:hAnsi="Calibri" w:cs="Calibri"/>
          <w:b/>
          <w:bCs/>
          <w:sz w:val="28"/>
          <w:szCs w:val="28"/>
          <w:lang w:val="en-US"/>
        </w:rPr>
        <w:t>Geothermal Water</w:t>
      </w:r>
      <w:r w:rsidR="00345C06">
        <w:rPr>
          <w:rFonts w:ascii="Calibri" w:hAnsi="Calibri" w:cs="Calibri"/>
          <w:b/>
          <w:bCs/>
          <w:sz w:val="28"/>
          <w:szCs w:val="28"/>
          <w:lang w:val="en-US"/>
        </w:rPr>
        <w:t xml:space="preserve"> Investigation </w:t>
      </w:r>
      <w:r w:rsidR="00345C06" w:rsidRPr="00345C06">
        <w:rPr>
          <w:rFonts w:ascii="Calibri" w:hAnsi="Calibri" w:cs="Calibri"/>
          <w:b/>
          <w:bCs/>
          <w:sz w:val="28"/>
          <w:szCs w:val="28"/>
          <w:lang w:val="en-US"/>
        </w:rPr>
        <w:t xml:space="preserve">by Using </w:t>
      </w:r>
      <w:r w:rsidR="007D79C3">
        <w:rPr>
          <w:rFonts w:ascii="Calibri" w:hAnsi="Calibri" w:cs="Calibri"/>
          <w:b/>
          <w:bCs/>
          <w:sz w:val="28"/>
          <w:szCs w:val="28"/>
          <w:lang w:val="en-US"/>
        </w:rPr>
        <w:t xml:space="preserve">Combined </w:t>
      </w:r>
      <w:r w:rsidR="00345C06" w:rsidRPr="00345C06">
        <w:rPr>
          <w:rFonts w:ascii="Calibri" w:hAnsi="Calibri" w:cs="Calibri"/>
          <w:b/>
          <w:bCs/>
          <w:sz w:val="28"/>
          <w:szCs w:val="28"/>
          <w:lang w:val="en-US"/>
        </w:rPr>
        <w:t>Geoelectrical Methods at Ping Khong Hot Spring, Chiang Mai, Thailand.</w:t>
      </w:r>
    </w:p>
    <w:p w14:paraId="68C121EB" w14:textId="77777777" w:rsidR="00E269DB" w:rsidRPr="00BE7B15" w:rsidRDefault="00E269DB" w:rsidP="00E269DB">
      <w:pPr>
        <w:rPr>
          <w:rFonts w:ascii="Calibri" w:hAnsi="Calibri" w:cs="Calibri"/>
          <w:b/>
          <w:bCs/>
          <w:lang w:val="en-US"/>
        </w:rPr>
      </w:pPr>
    </w:p>
    <w:p w14:paraId="543F3446" w14:textId="2346DD49" w:rsidR="00E269DB" w:rsidRPr="00BE7B15" w:rsidRDefault="00345C06" w:rsidP="00E269DB">
      <w:pPr>
        <w:rPr>
          <w:rFonts w:ascii="Calibri" w:hAnsi="Calibri" w:cs="Calibri"/>
          <w:lang w:val="en-US"/>
        </w:rPr>
      </w:pPr>
      <w:r>
        <w:rPr>
          <w:rFonts w:ascii="Calibri" w:hAnsi="Calibri" w:cs="Calibri"/>
          <w:lang w:val="en-US"/>
        </w:rPr>
        <w:t>Nartmongkhol</w:t>
      </w:r>
      <w:r w:rsidR="00E269DB" w:rsidRPr="00BE7B15">
        <w:rPr>
          <w:rFonts w:ascii="Calibri" w:hAnsi="Calibri" w:cs="Calibri"/>
          <w:lang w:val="en-US"/>
        </w:rPr>
        <w:t xml:space="preserve"> </w:t>
      </w:r>
      <w:r>
        <w:rPr>
          <w:rFonts w:ascii="Calibri" w:hAnsi="Calibri" w:cs="Calibri"/>
          <w:lang w:val="en-US"/>
        </w:rPr>
        <w:t>Songserm</w:t>
      </w:r>
      <w:r w:rsidR="00E269DB" w:rsidRPr="00BE7B15">
        <w:rPr>
          <w:rFonts w:ascii="Calibri" w:hAnsi="Calibri" w:cs="Calibri"/>
          <w:vertAlign w:val="superscript"/>
          <w:lang w:val="en-US"/>
        </w:rPr>
        <w:t>1</w:t>
      </w:r>
      <w:r w:rsidR="00E269DB" w:rsidRPr="00BE7B15">
        <w:rPr>
          <w:rFonts w:ascii="Calibri" w:hAnsi="Calibri" w:cs="Calibri"/>
          <w:lang w:val="en-US"/>
        </w:rPr>
        <w:t xml:space="preserve">; </w:t>
      </w:r>
      <w:r>
        <w:rPr>
          <w:rFonts w:ascii="Calibri" w:hAnsi="Calibri" w:cs="Calibri"/>
          <w:lang w:val="en-US"/>
        </w:rPr>
        <w:t xml:space="preserve">Avirut </w:t>
      </w:r>
      <w:r w:rsidRPr="00345C06">
        <w:rPr>
          <w:rFonts w:ascii="Calibri" w:hAnsi="Calibri" w:cs="Calibri"/>
          <w:lang w:val="en-US"/>
        </w:rPr>
        <w:t>Puttiwongrak</w:t>
      </w:r>
      <w:r w:rsidR="00E269DB" w:rsidRPr="00BE7B15">
        <w:rPr>
          <w:rFonts w:ascii="Calibri" w:hAnsi="Calibri" w:cs="Calibri"/>
          <w:vertAlign w:val="superscript"/>
          <w:lang w:val="en-US"/>
        </w:rPr>
        <w:t>2</w:t>
      </w:r>
      <w:r w:rsidR="00E269DB" w:rsidRPr="00BE7B15">
        <w:rPr>
          <w:rFonts w:ascii="Calibri" w:hAnsi="Calibri" w:cs="Calibri"/>
          <w:lang w:val="en-US"/>
        </w:rPr>
        <w:t xml:space="preserve">; </w:t>
      </w:r>
      <w:r w:rsidRPr="00345C06">
        <w:rPr>
          <w:rFonts w:ascii="Calibri" w:hAnsi="Calibri" w:cs="Calibri"/>
          <w:lang w:val="en-US"/>
        </w:rPr>
        <w:t>Ladda Tangwattananukul</w:t>
      </w:r>
      <w:r>
        <w:rPr>
          <w:rFonts w:ascii="Calibri" w:hAnsi="Calibri" w:cs="Calibri"/>
          <w:vertAlign w:val="superscript"/>
          <w:lang w:val="en-US"/>
        </w:rPr>
        <w:t>3</w:t>
      </w:r>
    </w:p>
    <w:p w14:paraId="17C53D98" w14:textId="77777777" w:rsidR="00E269DB" w:rsidRPr="00BE7B15" w:rsidRDefault="00E269DB" w:rsidP="00E269DB">
      <w:pPr>
        <w:rPr>
          <w:rFonts w:ascii="Calibri" w:hAnsi="Calibri" w:cs="Calibri"/>
          <w:b/>
          <w:bCs/>
          <w:lang w:val="en-US"/>
        </w:rPr>
      </w:pPr>
    </w:p>
    <w:p w14:paraId="04D8B3BC" w14:textId="7FE0A039" w:rsidR="00E269DB" w:rsidRPr="00BE7B15" w:rsidRDefault="00E269DB" w:rsidP="001F25C1">
      <w:pPr>
        <w:ind w:left="142" w:hanging="142"/>
        <w:jc w:val="both"/>
        <w:rPr>
          <w:rFonts w:ascii="Calibri" w:hAnsi="Calibri" w:cs="Calibri"/>
          <w:vertAlign w:val="superscript"/>
          <w:lang w:val="en-US"/>
        </w:rPr>
      </w:pPr>
      <w:r w:rsidRPr="00BE7B15">
        <w:rPr>
          <w:rFonts w:ascii="Calibri" w:hAnsi="Calibri" w:cs="Calibri"/>
          <w:vertAlign w:val="superscript"/>
          <w:lang w:val="en-US"/>
        </w:rPr>
        <w:t>1</w:t>
      </w:r>
      <w:r w:rsidRPr="00BE7B15">
        <w:rPr>
          <w:rFonts w:ascii="Calibri" w:hAnsi="Calibri" w:cs="Calibri"/>
          <w:lang w:val="en-US"/>
        </w:rPr>
        <w:t xml:space="preserve"> </w:t>
      </w:r>
      <w:r w:rsidR="00280E27">
        <w:rPr>
          <w:rFonts w:ascii="Calibri" w:hAnsi="Calibri" w:cs="Calibri"/>
          <w:lang w:val="en-US"/>
        </w:rPr>
        <w:t xml:space="preserve">Material Sourcing and Development Department, </w:t>
      </w:r>
      <w:r w:rsidR="00345C06">
        <w:rPr>
          <w:rFonts w:ascii="Calibri" w:hAnsi="Calibri" w:cs="Calibri"/>
          <w:lang w:val="en-US"/>
        </w:rPr>
        <w:t>SCG Cement Co., Ltd.</w:t>
      </w:r>
    </w:p>
    <w:p w14:paraId="0873D9AA" w14:textId="487445B3" w:rsidR="00E269DB" w:rsidRPr="00BE7B15" w:rsidRDefault="00E269DB" w:rsidP="001F25C1">
      <w:pPr>
        <w:ind w:left="142" w:hanging="142"/>
        <w:jc w:val="both"/>
        <w:rPr>
          <w:rFonts w:ascii="Calibri" w:hAnsi="Calibri" w:cs="Calibri"/>
          <w:vertAlign w:val="superscript"/>
          <w:lang w:val="en-US"/>
        </w:rPr>
      </w:pPr>
      <w:r w:rsidRPr="00BE7B15">
        <w:rPr>
          <w:rFonts w:ascii="Calibri" w:hAnsi="Calibri" w:cs="Calibri"/>
          <w:vertAlign w:val="superscript"/>
          <w:lang w:val="en-US"/>
        </w:rPr>
        <w:t>2</w:t>
      </w:r>
      <w:r w:rsidRPr="00BE7B15">
        <w:rPr>
          <w:rFonts w:ascii="Calibri" w:hAnsi="Calibri" w:cs="Calibri"/>
          <w:lang w:val="en-US"/>
        </w:rPr>
        <w:t xml:space="preserve"> </w:t>
      </w:r>
      <w:r w:rsidR="00280E27">
        <w:rPr>
          <w:rFonts w:ascii="Calibri" w:hAnsi="Calibri" w:cs="Calibri"/>
          <w:lang w:val="en-US"/>
        </w:rPr>
        <w:t xml:space="preserve">Division of Geotechnical and Earth Resource Engineering, School of Engineering and Technology, </w:t>
      </w:r>
      <w:r w:rsidR="00345C06">
        <w:rPr>
          <w:rFonts w:ascii="Calibri" w:hAnsi="Calibri" w:cs="Calibri"/>
          <w:lang w:val="en-US"/>
        </w:rPr>
        <w:t>Asian Institute of Technology</w:t>
      </w:r>
    </w:p>
    <w:p w14:paraId="74D0569E" w14:textId="55C03FCA" w:rsidR="00345C06" w:rsidRPr="00BE7B15" w:rsidRDefault="00345C06" w:rsidP="00345C06">
      <w:pPr>
        <w:ind w:left="142" w:hanging="142"/>
        <w:jc w:val="both"/>
        <w:rPr>
          <w:rFonts w:ascii="Calibri" w:hAnsi="Calibri" w:cs="Calibri"/>
          <w:vertAlign w:val="superscript"/>
          <w:lang w:val="en-US"/>
        </w:rPr>
      </w:pPr>
      <w:r w:rsidRPr="00BE7B15">
        <w:rPr>
          <w:rFonts w:ascii="Calibri" w:hAnsi="Calibri" w:cs="Calibri"/>
          <w:vertAlign w:val="superscript"/>
          <w:lang w:val="en-US"/>
        </w:rPr>
        <w:t>2</w:t>
      </w:r>
      <w:r w:rsidRPr="00BE7B15">
        <w:rPr>
          <w:rFonts w:ascii="Calibri" w:hAnsi="Calibri" w:cs="Calibri"/>
          <w:lang w:val="en-US"/>
        </w:rPr>
        <w:t xml:space="preserve"> </w:t>
      </w:r>
      <w:r>
        <w:rPr>
          <w:rFonts w:ascii="Calibri" w:hAnsi="Calibri" w:cs="Calibri"/>
          <w:lang w:val="en-US"/>
        </w:rPr>
        <w:t>Department of Earth Science, Faculty of Science, Kasetsart University</w:t>
      </w:r>
    </w:p>
    <w:p w14:paraId="5F72023B" w14:textId="77777777" w:rsidR="00E269DB" w:rsidRPr="00BE7B15" w:rsidRDefault="00E269DB" w:rsidP="00E269DB">
      <w:pPr>
        <w:rPr>
          <w:rFonts w:ascii="Calibri" w:hAnsi="Calibri" w:cs="Calibri"/>
          <w:b/>
          <w:bCs/>
          <w:lang w:val="en-US"/>
        </w:rPr>
      </w:pPr>
    </w:p>
    <w:p w14:paraId="48C299FC" w14:textId="3AE28CBF" w:rsidR="00E269DB" w:rsidRPr="00D037A7" w:rsidRDefault="00E269DB" w:rsidP="00E269DB">
      <w:pPr>
        <w:rPr>
          <w:rFonts w:ascii="Calibri" w:hAnsi="Calibri" w:cs="Calibri"/>
          <w:lang w:val="en-US"/>
        </w:rPr>
      </w:pPr>
      <w:r w:rsidRPr="00BE7B15">
        <w:rPr>
          <w:rFonts w:ascii="Calibri" w:hAnsi="Calibri" w:cs="Calibri"/>
          <w:b/>
          <w:bCs/>
          <w:lang w:val="en-US"/>
        </w:rPr>
        <w:t xml:space="preserve">Corresponding Author(s): </w:t>
      </w:r>
      <w:r w:rsidR="00280E27" w:rsidRPr="00280E27">
        <w:rPr>
          <w:rFonts w:ascii="Calibri" w:hAnsi="Calibri" w:cs="Calibri"/>
          <w:lang w:val="en-US"/>
        </w:rPr>
        <w:t>nartmongkhol.geo@gmail.com</w:t>
      </w:r>
      <w:r w:rsidR="00280E27">
        <w:rPr>
          <w:rFonts w:ascii="Calibri" w:hAnsi="Calibri" w:cs="Calibri"/>
          <w:lang w:val="en-US"/>
        </w:rPr>
        <w:t>, avirut@ait.ac.th</w:t>
      </w:r>
    </w:p>
    <w:p w14:paraId="6C9A26C5" w14:textId="77777777" w:rsidR="00E269DB" w:rsidRPr="00BE7B15" w:rsidRDefault="00E269DB" w:rsidP="00E269DB">
      <w:pPr>
        <w:rPr>
          <w:rFonts w:ascii="Calibri" w:hAnsi="Calibri" w:cs="Calibri"/>
          <w:b/>
          <w:bCs/>
          <w:lang w:val="en-US"/>
        </w:rPr>
      </w:pPr>
    </w:p>
    <w:p w14:paraId="0F3A92CB" w14:textId="5C98CA4A" w:rsidR="007D79C3" w:rsidRPr="007D79C3" w:rsidRDefault="00534ECD" w:rsidP="007D79C3">
      <w:pPr>
        <w:jc w:val="both"/>
        <w:rPr>
          <w:rFonts w:ascii="Calibri" w:hAnsi="Calibri" w:cs="Calibri"/>
          <w:lang w:val="en-US"/>
        </w:rPr>
      </w:pPr>
      <w:r>
        <w:rPr>
          <w:rFonts w:ascii="Calibri" w:hAnsi="Calibri" w:cs="Calibri"/>
          <w:lang w:val="en-US"/>
        </w:rPr>
        <w:t>There are more</w:t>
      </w:r>
      <w:r w:rsidR="007D79C3" w:rsidRPr="007D79C3">
        <w:rPr>
          <w:rFonts w:ascii="Calibri" w:hAnsi="Calibri" w:cs="Calibri"/>
          <w:lang w:val="en-US"/>
        </w:rPr>
        <w:t xml:space="preserve"> than one hundred hot springs along the major fault zones in the north and south of Thailand. Systematic geothermal exploration has been carried out in northern Thailand since 1977. Due to the limited temperature of the fluid (less than 150 °C at the surface), people mainly utilized the geothermal resources for agriculture and tourism. More recently, mineral water bottling plants have utilized geothermal water as a source of raw materials. The exploration of geothermal water resources is therefore a crucial step in the planning and growth of the mineral water bottling industry. The combination of electrical resistivity (ERT) and induced polarization (IP) tomography could help us to reduce the ambiguity of interpreting anomalies by using normalization techniques.</w:t>
      </w:r>
    </w:p>
    <w:p w14:paraId="551E216E" w14:textId="77777777" w:rsidR="007D79C3" w:rsidRPr="007D79C3" w:rsidRDefault="007D79C3" w:rsidP="007D79C3">
      <w:pPr>
        <w:jc w:val="both"/>
        <w:rPr>
          <w:rFonts w:ascii="Calibri" w:hAnsi="Calibri" w:cs="Calibri"/>
          <w:lang w:val="en-US"/>
        </w:rPr>
      </w:pPr>
    </w:p>
    <w:p w14:paraId="7FF54ED3" w14:textId="57FB65BB" w:rsidR="007D79C3" w:rsidRPr="007D79C3" w:rsidRDefault="007D79C3" w:rsidP="007D79C3">
      <w:pPr>
        <w:jc w:val="both"/>
        <w:rPr>
          <w:rFonts w:ascii="Calibri" w:hAnsi="Calibri" w:cs="Calibri"/>
          <w:lang w:val="en-US"/>
        </w:rPr>
      </w:pPr>
      <w:r w:rsidRPr="007D79C3">
        <w:rPr>
          <w:rFonts w:ascii="Calibri" w:hAnsi="Calibri" w:cs="Calibri"/>
          <w:lang w:val="en-US"/>
        </w:rPr>
        <w:t xml:space="preserve">Normalized chargeability is susceptible to lithology, especially clay concentration. In addition, the induced polarization method is very well suited for the detection of sulfide minerals which are commonly associated with hydrothermal systems. By using normalized parameters, the geothermal water zone can be separated from clay-bearing formations and normal groundwater, which also show low resistivity anomalies. The aim of this study is to use resistivity and chargeability measurements to identify geothermal water circulation zones in the Ping Khong hot spring in Chiang Dao district, Chiang Mai province, northern Thailand. This </w:t>
      </w:r>
      <w:r w:rsidR="00873FB1">
        <w:rPr>
          <w:rFonts w:ascii="Calibri" w:hAnsi="Calibri" w:cs="Calibri"/>
          <w:lang w:val="en-US"/>
        </w:rPr>
        <w:t>research</w:t>
      </w:r>
      <w:r w:rsidRPr="007D79C3">
        <w:rPr>
          <w:rFonts w:ascii="Calibri" w:hAnsi="Calibri" w:cs="Calibri"/>
          <w:lang w:val="en-US"/>
        </w:rPr>
        <w:t xml:space="preserve"> has contributed to a better understanding of the relationship between the distribution of geothermal water and its geoelectric responses (ERT, IP and normalized IP).</w:t>
      </w:r>
    </w:p>
    <w:p w14:paraId="00DDFB01" w14:textId="77777777" w:rsidR="007D79C3" w:rsidRPr="007D79C3" w:rsidRDefault="007D79C3" w:rsidP="007D79C3">
      <w:pPr>
        <w:jc w:val="both"/>
        <w:rPr>
          <w:rFonts w:ascii="Calibri" w:hAnsi="Calibri" w:cs="Calibri"/>
          <w:lang w:val="en-US"/>
        </w:rPr>
      </w:pPr>
    </w:p>
    <w:p w14:paraId="5EF2FCB3" w14:textId="17385DC1" w:rsidR="007D79C3" w:rsidRPr="007D79C3" w:rsidRDefault="007D79C3" w:rsidP="007D79C3">
      <w:pPr>
        <w:jc w:val="both"/>
        <w:rPr>
          <w:rFonts w:ascii="Calibri" w:hAnsi="Calibri" w:cs="Calibri"/>
          <w:lang w:val="en-US"/>
        </w:rPr>
      </w:pPr>
      <w:r w:rsidRPr="007D79C3">
        <w:rPr>
          <w:rFonts w:ascii="Calibri" w:hAnsi="Calibri" w:cs="Calibri"/>
          <w:lang w:val="en-US"/>
        </w:rPr>
        <w:t xml:space="preserve">Six survey traverses were carried out in this study, using 5 m of electrode spacing. Based on </w:t>
      </w:r>
      <w:r w:rsidR="00DE2124">
        <w:rPr>
          <w:rFonts w:ascii="Calibri" w:hAnsi="Calibri" w:cs="Calibri"/>
          <w:lang w:val="en-US"/>
        </w:rPr>
        <w:t>exploration data</w:t>
      </w:r>
      <w:r w:rsidRPr="007D79C3">
        <w:rPr>
          <w:rFonts w:ascii="Calibri" w:hAnsi="Calibri" w:cs="Calibri"/>
          <w:lang w:val="en-US"/>
        </w:rPr>
        <w:t xml:space="preserve"> history of the region, it was assumed that the aquifers were located at depths of more than 30 meters. A multiple gradient array was selected, which a maximum depth</w:t>
      </w:r>
      <w:r w:rsidR="00DE2124">
        <w:rPr>
          <w:rFonts w:ascii="Calibri" w:hAnsi="Calibri" w:cs="Calibri"/>
          <w:lang w:val="en-US"/>
        </w:rPr>
        <w:t xml:space="preserve"> of investigation</w:t>
      </w:r>
      <w:r w:rsidRPr="007D79C3">
        <w:rPr>
          <w:rFonts w:ascii="Calibri" w:hAnsi="Calibri" w:cs="Calibri"/>
          <w:lang w:val="en-US"/>
        </w:rPr>
        <w:t xml:space="preserve"> achiev</w:t>
      </w:r>
      <w:r w:rsidR="00DE2124">
        <w:rPr>
          <w:rFonts w:ascii="Calibri" w:hAnsi="Calibri" w:cs="Calibri"/>
          <w:lang w:val="en-US"/>
        </w:rPr>
        <w:t>ed</w:t>
      </w:r>
      <w:r w:rsidRPr="007D79C3">
        <w:rPr>
          <w:rFonts w:ascii="Calibri" w:hAnsi="Calibri" w:cs="Calibri"/>
          <w:lang w:val="en-US"/>
        </w:rPr>
        <w:t xml:space="preserve"> the desired depth of 30 meters. After completion of the inversion process, the normalized chargeability was calculated and presented as a 2D cross-section. Subsequently, the subsurface geology and potential zone were interpreted.</w:t>
      </w:r>
    </w:p>
    <w:p w14:paraId="2AD546BB" w14:textId="77777777" w:rsidR="007D79C3" w:rsidRPr="007D79C3" w:rsidRDefault="007D79C3" w:rsidP="007D79C3">
      <w:pPr>
        <w:jc w:val="both"/>
        <w:rPr>
          <w:rFonts w:ascii="Calibri" w:hAnsi="Calibri" w:cs="Calibri"/>
          <w:lang w:val="en-US"/>
        </w:rPr>
      </w:pPr>
    </w:p>
    <w:p w14:paraId="530741DC" w14:textId="77777777" w:rsidR="007D79C3" w:rsidRPr="007D79C3" w:rsidRDefault="007D79C3" w:rsidP="007D79C3">
      <w:pPr>
        <w:jc w:val="both"/>
        <w:rPr>
          <w:rFonts w:ascii="Calibri" w:hAnsi="Calibri" w:cs="Calibri"/>
          <w:lang w:val="en-US"/>
        </w:rPr>
      </w:pPr>
      <w:r w:rsidRPr="007D79C3">
        <w:rPr>
          <w:rFonts w:ascii="Calibri" w:hAnsi="Calibri" w:cs="Calibri"/>
          <w:lang w:val="en-US"/>
        </w:rPr>
        <w:t>Many normalized chargeability anomalies were found to be associated with rocks containing pyrite veins, which are highly polarizable and conductive. The geothermal water plumes had relatively low to high normalized chargeability anomalies as opposed to extremely high anomalies. This was because the water itself had low rechargeability, but the presence of pyrite minerals in the environment was the main factor in improving rechargeability and lowering resistivity in conjunction with the high TDS and EC of the pore fluids. In contrast, normal aquifers exhibited almost the same resistivity range as geothermal water zones, but had extremely low normalized rechargeability values. With the combination of ERT and IP geoelectric approaches, the identification of geothermal water is more accurate and reliable than when only the resistivity anomaly is considered. This study summarizes that normalized chargeability is a desirable aspect for geoelectric investigation of geothermal water.</w:t>
      </w:r>
    </w:p>
    <w:p w14:paraId="27681212" w14:textId="51FA06B8" w:rsidR="007466D0" w:rsidRPr="00BE7B15" w:rsidRDefault="007466D0" w:rsidP="00293C32">
      <w:pPr>
        <w:spacing w:after="120"/>
        <w:rPr>
          <w:rFonts w:ascii="Calibri" w:hAnsi="Calibri" w:cs="Calibri"/>
          <w:lang w:val="en-US"/>
        </w:rPr>
      </w:pPr>
    </w:p>
    <w:p w14:paraId="37BAD201" w14:textId="41B1F0EB" w:rsidR="00514B15" w:rsidRPr="00BE7B15" w:rsidRDefault="007466D0" w:rsidP="007466D0">
      <w:pPr>
        <w:rPr>
          <w:rFonts w:ascii="Calibri" w:hAnsi="Calibri" w:cs="Calibri"/>
          <w:lang w:val="en-US"/>
        </w:rPr>
      </w:pPr>
      <w:r w:rsidRPr="00BE7B15">
        <w:rPr>
          <w:rFonts w:ascii="Calibri" w:hAnsi="Calibri" w:cs="Calibri"/>
          <w:b/>
          <w:bCs/>
          <w:lang w:val="en-US"/>
        </w:rPr>
        <w:t xml:space="preserve">Keywords: </w:t>
      </w:r>
      <w:r w:rsidR="007D79C3">
        <w:rPr>
          <w:rFonts w:ascii="Calibri" w:hAnsi="Calibri" w:cs="Calibri"/>
          <w:lang w:val="en-US"/>
        </w:rPr>
        <w:t xml:space="preserve">Geothermal </w:t>
      </w:r>
      <w:r w:rsidR="00280E27">
        <w:rPr>
          <w:rFonts w:ascii="Calibri" w:hAnsi="Calibri" w:cs="Calibri"/>
          <w:lang w:val="en-US"/>
        </w:rPr>
        <w:t>water</w:t>
      </w:r>
      <w:r w:rsidRPr="00BE7B15">
        <w:rPr>
          <w:rFonts w:ascii="Calibri" w:hAnsi="Calibri" w:cs="Calibri"/>
          <w:lang w:val="en-US"/>
        </w:rPr>
        <w:t xml:space="preserve">; </w:t>
      </w:r>
      <w:r w:rsidR="00280E27">
        <w:rPr>
          <w:rFonts w:ascii="Calibri" w:hAnsi="Calibri" w:cs="Calibri"/>
          <w:lang w:val="en-US"/>
        </w:rPr>
        <w:t>Resistivity; Induced polarization; Normalized chargeability</w:t>
      </w:r>
      <w:r w:rsidRPr="00BE7B15">
        <w:rPr>
          <w:rFonts w:ascii="Calibri" w:hAnsi="Calibri" w:cs="Calibri"/>
          <w:lang w:val="en-US"/>
        </w:rPr>
        <w:t>;</w:t>
      </w:r>
      <w:r w:rsidR="00280E27">
        <w:rPr>
          <w:rFonts w:ascii="Calibri" w:hAnsi="Calibri" w:cs="Calibri"/>
          <w:lang w:val="en-US"/>
        </w:rPr>
        <w:t xml:space="preserve"> </w:t>
      </w:r>
      <w:r w:rsidR="00D06523">
        <w:rPr>
          <w:rFonts w:ascii="Calibri" w:hAnsi="Calibri" w:cs="Calibri"/>
          <w:lang w:val="en-US"/>
        </w:rPr>
        <w:t>Hot spring</w:t>
      </w:r>
      <w:r w:rsidR="00280E27">
        <w:rPr>
          <w:rFonts w:ascii="Calibri" w:hAnsi="Calibri" w:cs="Calibri"/>
          <w:lang w:val="en-US"/>
        </w:rPr>
        <w:t>;</w:t>
      </w:r>
      <w:r w:rsidRPr="00BE7B15">
        <w:rPr>
          <w:rFonts w:ascii="Calibri" w:hAnsi="Calibri" w:cs="Calibri"/>
          <w:lang w:val="en-US"/>
        </w:rPr>
        <w:t xml:space="preserve"> </w:t>
      </w:r>
      <w:r w:rsidR="00611BC5">
        <w:rPr>
          <w:rFonts w:ascii="Calibri" w:hAnsi="Calibri" w:cs="Calibri"/>
          <w:lang w:val="en-US"/>
        </w:rPr>
        <w:t>Thailand</w:t>
      </w:r>
    </w:p>
    <w:p w14:paraId="7D42FAC1" w14:textId="77777777" w:rsidR="00E62E7A" w:rsidRPr="00BE7B15" w:rsidRDefault="00E62E7A" w:rsidP="00E269DB">
      <w:pPr>
        <w:rPr>
          <w:rFonts w:ascii="Calibri" w:hAnsi="Calibri" w:cs="Calibri"/>
          <w:color w:val="C00000"/>
          <w:sz w:val="20"/>
          <w:szCs w:val="20"/>
          <w:lang w:val="en-US"/>
        </w:rPr>
        <w:sectPr w:rsidR="00E62E7A" w:rsidRPr="00BE7B15" w:rsidSect="00E62919">
          <w:pgSz w:w="11900" w:h="16840"/>
          <w:pgMar w:top="1134" w:right="1134" w:bottom="1134" w:left="1134" w:header="709" w:footer="709" w:gutter="0"/>
          <w:cols w:space="708"/>
          <w:docGrid w:linePitch="360"/>
        </w:sectPr>
      </w:pPr>
    </w:p>
    <w:p w14:paraId="7C276002" w14:textId="7E9BA34A" w:rsidR="00E269DB" w:rsidRDefault="00E269DB" w:rsidP="00E269DB">
      <w:pPr>
        <w:rPr>
          <w:rFonts w:ascii="Calibri" w:hAnsi="Calibri" w:cstheme="minorBidi"/>
          <w:sz w:val="20"/>
          <w:szCs w:val="25"/>
          <w:lang w:bidi="th-TH"/>
        </w:rPr>
      </w:pPr>
    </w:p>
    <w:p w14:paraId="33D45CD9" w14:textId="74FABA2F" w:rsidR="00C64B50" w:rsidRDefault="00C64B50">
      <w:pPr>
        <w:rPr>
          <w:rFonts w:ascii="Calibri" w:hAnsi="Calibri" w:cstheme="minorBidi"/>
          <w:sz w:val="20"/>
          <w:szCs w:val="25"/>
          <w:cs/>
          <w:lang w:val="en-US" w:bidi="th-TH"/>
        </w:rPr>
      </w:pPr>
      <w:r>
        <w:rPr>
          <w:rFonts w:ascii="Calibri" w:hAnsi="Calibri" w:cstheme="minorBidi"/>
          <w:sz w:val="20"/>
          <w:szCs w:val="25"/>
          <w:cs/>
          <w:lang w:val="en-US" w:bidi="th-TH"/>
        </w:rPr>
        <w:br w:type="page"/>
      </w:r>
    </w:p>
    <w:p w14:paraId="062952FE" w14:textId="10CF6912" w:rsidR="00E42D19" w:rsidRPr="00E42D19" w:rsidRDefault="00E42D19" w:rsidP="00E42D19">
      <w:pPr>
        <w:rPr>
          <w:rFonts w:ascii="Calibri" w:hAnsi="Calibri" w:cstheme="minorBidi"/>
          <w:sz w:val="20"/>
          <w:szCs w:val="25"/>
          <w:lang w:val="en-US" w:bidi="th-TH"/>
        </w:rPr>
      </w:pPr>
      <w:r w:rsidRPr="00E42D19">
        <w:rPr>
          <w:rFonts w:ascii="Calibri" w:hAnsi="Calibri" w:cstheme="minorBidi"/>
          <w:sz w:val="20"/>
          <w:szCs w:val="25"/>
          <w:lang w:val="en-US" w:bidi="th-TH"/>
        </w:rPr>
        <w:lastRenderedPageBreak/>
        <w:t>More than one hundred hot springs along the major fault zones in the north and south of Thailand. Systematic geothermal exploration has been carried out in northern Thailand since 1977. Due to the limited temperature of the fluid (less than 150 °C at the surface), people mainly utilized the geothermal resources for agriculture and tourism</w:t>
      </w:r>
      <w:r>
        <w:rPr>
          <w:rFonts w:ascii="Calibri" w:hAnsi="Calibri" w:cstheme="minorBidi"/>
          <w:sz w:val="20"/>
          <w:szCs w:val="25"/>
          <w:lang w:val="en-US" w:bidi="th-TH"/>
        </w:rPr>
        <w:t xml:space="preserve">. </w:t>
      </w:r>
      <w:r w:rsidRPr="00E42D19">
        <w:rPr>
          <w:rFonts w:ascii="Calibri" w:hAnsi="Calibri" w:cstheme="minorBidi"/>
          <w:sz w:val="20"/>
          <w:szCs w:val="25"/>
          <w:lang w:val="en-US" w:bidi="th-TH"/>
        </w:rPr>
        <w:t xml:space="preserve">More recently, mineral water bottling plants have utilized geothermal water as a source of raw materials. The exploration of geothermal water resources is therefore a crucial step in the planning and growth of the mineral water bottling industry. The combination of </w:t>
      </w:r>
      <w:r w:rsidR="007D79C3">
        <w:rPr>
          <w:rFonts w:ascii="Calibri" w:hAnsi="Calibri" w:cstheme="minorBidi"/>
          <w:sz w:val="20"/>
          <w:szCs w:val="25"/>
          <w:lang w:val="en-US" w:bidi="th-TH"/>
        </w:rPr>
        <w:t xml:space="preserve">electrical resistivity (ERT) and induced polarization (IP) tomography </w:t>
      </w:r>
      <w:r w:rsidR="007D79C3" w:rsidRPr="00E42D19">
        <w:rPr>
          <w:rFonts w:ascii="Calibri" w:hAnsi="Calibri" w:cstheme="minorBidi"/>
          <w:sz w:val="20"/>
          <w:szCs w:val="25"/>
          <w:lang w:val="en-US" w:bidi="th-TH"/>
        </w:rPr>
        <w:t>could</w:t>
      </w:r>
      <w:r w:rsidRPr="00E42D19">
        <w:rPr>
          <w:rFonts w:ascii="Calibri" w:hAnsi="Calibri" w:cstheme="minorBidi"/>
          <w:sz w:val="20"/>
          <w:szCs w:val="25"/>
          <w:lang w:val="en-US" w:bidi="th-TH"/>
        </w:rPr>
        <w:t xml:space="preserve"> help us to reduce the ambiguity of interpreting anomalies by using normalization techniques</w:t>
      </w:r>
      <w:r>
        <w:rPr>
          <w:rFonts w:ascii="Calibri" w:hAnsi="Calibri" w:cstheme="minorBidi"/>
          <w:sz w:val="20"/>
          <w:szCs w:val="25"/>
          <w:lang w:val="en-US" w:bidi="th-TH"/>
        </w:rPr>
        <w:t>.</w:t>
      </w:r>
    </w:p>
    <w:p w14:paraId="7A6184AE" w14:textId="77777777" w:rsidR="00E42D19" w:rsidRPr="00E42D19" w:rsidRDefault="00E42D19" w:rsidP="00E42D19">
      <w:pPr>
        <w:rPr>
          <w:rFonts w:ascii="Calibri" w:hAnsi="Calibri" w:cstheme="minorBidi"/>
          <w:sz w:val="20"/>
          <w:szCs w:val="25"/>
          <w:lang w:val="en-US" w:bidi="th-TH"/>
        </w:rPr>
      </w:pPr>
    </w:p>
    <w:p w14:paraId="5784E067" w14:textId="0360A720" w:rsidR="00E42D19" w:rsidRPr="00E42D19" w:rsidRDefault="00E42D19" w:rsidP="00E42D19">
      <w:pPr>
        <w:rPr>
          <w:rFonts w:ascii="Calibri" w:hAnsi="Calibri" w:cstheme="minorBidi"/>
          <w:sz w:val="20"/>
          <w:szCs w:val="25"/>
          <w:lang w:val="en-US" w:bidi="th-TH"/>
        </w:rPr>
      </w:pPr>
      <w:r w:rsidRPr="00E42D19">
        <w:rPr>
          <w:rFonts w:ascii="Calibri" w:hAnsi="Calibri" w:cstheme="minorBidi"/>
          <w:sz w:val="20"/>
          <w:szCs w:val="25"/>
          <w:lang w:val="en-US" w:bidi="th-TH"/>
        </w:rPr>
        <w:t>Normalized chargeability is susceptible to lithology, especially clay concentration. In addition, the induced polarization method is very well suited for the detection of sulfide minerals</w:t>
      </w:r>
      <w:r w:rsidR="002553CE">
        <w:rPr>
          <w:rFonts w:ascii="Calibri" w:hAnsi="Calibri" w:cstheme="minorBidi"/>
          <w:sz w:val="20"/>
          <w:szCs w:val="25"/>
          <w:lang w:val="en-US" w:bidi="th-TH"/>
        </w:rPr>
        <w:t xml:space="preserve"> which are commonly associated with hydrothermal systems</w:t>
      </w:r>
      <w:r w:rsidRPr="00E42D19">
        <w:rPr>
          <w:rFonts w:ascii="Calibri" w:hAnsi="Calibri" w:cstheme="minorBidi"/>
          <w:sz w:val="20"/>
          <w:szCs w:val="25"/>
          <w:lang w:val="en-US" w:bidi="th-TH"/>
        </w:rPr>
        <w:t xml:space="preserve">. By using normalized parameters, the geothermal water zone can be separated from clay-bearing formations and normal groundwater, which also show low resistivity anomalies. The aim of this study is to use resistivity and </w:t>
      </w:r>
      <w:r w:rsidR="002553CE">
        <w:rPr>
          <w:rFonts w:ascii="Calibri" w:hAnsi="Calibri" w:cstheme="minorBidi"/>
          <w:sz w:val="20"/>
          <w:szCs w:val="25"/>
          <w:lang w:val="en-US" w:bidi="th-TH"/>
        </w:rPr>
        <w:t>chargeability</w:t>
      </w:r>
      <w:r w:rsidRPr="00E42D19">
        <w:rPr>
          <w:rFonts w:ascii="Calibri" w:hAnsi="Calibri" w:cstheme="minorBidi"/>
          <w:sz w:val="20"/>
          <w:szCs w:val="25"/>
          <w:lang w:val="en-US" w:bidi="th-TH"/>
        </w:rPr>
        <w:t xml:space="preserve"> measurements to identify geothermal water circulation zones in the Ping Khong hot spring in Chiang Dao district, Chiang Mai province, northern Thailand. This study has contributed to a better understanding of the relationship between the distribution of geothermal water and its geoelectric responses (ERT, IP and normalized IP).</w:t>
      </w:r>
    </w:p>
    <w:p w14:paraId="5684D6CF" w14:textId="54C703FC" w:rsidR="00E42D19" w:rsidRDefault="00E42D19" w:rsidP="00E42D19">
      <w:pPr>
        <w:rPr>
          <w:rFonts w:ascii="Calibri" w:hAnsi="Calibri" w:cstheme="minorBidi"/>
          <w:sz w:val="20"/>
          <w:szCs w:val="25"/>
          <w:lang w:val="en-US" w:bidi="th-TH"/>
        </w:rPr>
      </w:pPr>
    </w:p>
    <w:p w14:paraId="71F0B2E2" w14:textId="06CCE730" w:rsidR="002553CE" w:rsidRDefault="002553CE" w:rsidP="002553CE">
      <w:pPr>
        <w:rPr>
          <w:rFonts w:ascii="Calibri" w:hAnsi="Calibri" w:cstheme="minorBidi"/>
          <w:sz w:val="20"/>
          <w:szCs w:val="25"/>
          <w:lang w:val="en-US" w:bidi="th-TH"/>
        </w:rPr>
      </w:pPr>
      <w:r w:rsidRPr="002553CE">
        <w:rPr>
          <w:rFonts w:ascii="Calibri" w:hAnsi="Calibri" w:cstheme="minorBidi"/>
          <w:sz w:val="20"/>
          <w:szCs w:val="25"/>
          <w:lang w:val="en-US" w:bidi="th-TH"/>
        </w:rPr>
        <w:t>Six ERT and IP survey traverses were carried out in this study</w:t>
      </w:r>
      <w:r>
        <w:rPr>
          <w:rFonts w:ascii="Calibri" w:hAnsi="Calibri" w:cstheme="minorBidi"/>
          <w:sz w:val="20"/>
          <w:szCs w:val="25"/>
          <w:lang w:val="en-US" w:bidi="th-TH"/>
        </w:rPr>
        <w:t>, using 5 m o f electrode spacing</w:t>
      </w:r>
      <w:r w:rsidRPr="002553CE">
        <w:rPr>
          <w:rFonts w:ascii="Calibri" w:hAnsi="Calibri" w:cstheme="minorBidi"/>
          <w:sz w:val="20"/>
          <w:szCs w:val="25"/>
          <w:lang w:val="en-US" w:bidi="th-TH"/>
        </w:rPr>
        <w:t>. Based on prior drilling investigation and the hydrogeological history of the region, it was assumed that the aquifers were located at depths of more than 30 meters.</w:t>
      </w:r>
      <w:r>
        <w:rPr>
          <w:rFonts w:ascii="Calibri" w:hAnsi="Calibri" w:cstheme="minorBidi"/>
          <w:sz w:val="20"/>
          <w:szCs w:val="25"/>
          <w:lang w:val="en-US" w:bidi="th-TH"/>
        </w:rPr>
        <w:t xml:space="preserve"> </w:t>
      </w:r>
      <w:r w:rsidRPr="002553CE">
        <w:rPr>
          <w:rFonts w:ascii="Calibri" w:hAnsi="Calibri" w:cstheme="minorBidi"/>
          <w:sz w:val="20"/>
          <w:szCs w:val="25"/>
          <w:lang w:val="en-US" w:bidi="th-TH"/>
        </w:rPr>
        <w:t>A multiple gradient array was selected, which resulted in a maximum penetration depth of 42 to 51 meters, achieving the desired depth of 30 meters. This unconventional array has several advantages over the traditional Schlumberger, dipole-dipole, and Wenner arrays</w:t>
      </w:r>
      <w:r>
        <w:rPr>
          <w:rFonts w:ascii="Calibri" w:hAnsi="Calibri" w:cstheme="minorBidi"/>
          <w:sz w:val="20"/>
          <w:szCs w:val="25"/>
          <w:lang w:val="en-US" w:bidi="th-TH"/>
        </w:rPr>
        <w:t>.</w:t>
      </w:r>
      <w:r w:rsidRPr="002553CE">
        <w:rPr>
          <w:rFonts w:ascii="Calibri" w:hAnsi="Calibri" w:cstheme="minorBidi"/>
          <w:sz w:val="20"/>
          <w:szCs w:val="25"/>
          <w:lang w:val="en-US" w:bidi="th-TH"/>
        </w:rPr>
        <w:t xml:space="preserve"> After completion of the ERT and IP inversion process, the normalized chargeability was calculated and presented as a 2D cross-section. Subsequently, the subsurface geology and potential zone were interpreted.</w:t>
      </w:r>
    </w:p>
    <w:p w14:paraId="685BFFF0" w14:textId="77777777" w:rsidR="002553CE" w:rsidRDefault="002553CE" w:rsidP="00E42D19">
      <w:pPr>
        <w:rPr>
          <w:rFonts w:ascii="Calibri" w:hAnsi="Calibri" w:cstheme="minorBidi"/>
          <w:sz w:val="20"/>
          <w:szCs w:val="25"/>
          <w:lang w:val="en-US" w:bidi="th-TH"/>
        </w:rPr>
      </w:pPr>
    </w:p>
    <w:p w14:paraId="3703F7B0" w14:textId="61C485B2" w:rsidR="00E42D19" w:rsidRDefault="007D79C3" w:rsidP="00E42D19">
      <w:pPr>
        <w:rPr>
          <w:rFonts w:ascii="Calibri" w:hAnsi="Calibri" w:cstheme="minorBidi"/>
          <w:sz w:val="20"/>
          <w:szCs w:val="25"/>
          <w:lang w:val="en-US" w:bidi="th-TH"/>
        </w:rPr>
      </w:pPr>
      <w:r>
        <w:rPr>
          <w:rFonts w:ascii="Calibri" w:hAnsi="Calibri" w:cstheme="minorBidi"/>
          <w:sz w:val="20"/>
          <w:szCs w:val="25"/>
          <w:lang w:val="en-US" w:bidi="th-TH"/>
        </w:rPr>
        <w:t>M</w:t>
      </w:r>
      <w:r w:rsidR="00E42D19" w:rsidRPr="00E42D19">
        <w:rPr>
          <w:rFonts w:ascii="Calibri" w:hAnsi="Calibri" w:cstheme="minorBidi"/>
          <w:sz w:val="20"/>
          <w:szCs w:val="25"/>
          <w:lang w:val="en-US" w:bidi="th-TH"/>
        </w:rPr>
        <w:t>any normalized chargeability anomalies were found to be associated with rocks containing pyrite veins, which are highly polarizable and conductive. The geothermal water plumes had relatively low to high normalized chargeability anomalies as opposed to extremely high anomalies</w:t>
      </w:r>
      <w:r>
        <w:rPr>
          <w:rFonts w:ascii="Calibri" w:hAnsi="Calibri" w:cstheme="minorBidi"/>
          <w:sz w:val="20"/>
          <w:szCs w:val="25"/>
          <w:lang w:val="en-US" w:bidi="th-TH"/>
        </w:rPr>
        <w:t xml:space="preserve">. </w:t>
      </w:r>
      <w:r w:rsidR="00E42D19" w:rsidRPr="00E42D19">
        <w:rPr>
          <w:rFonts w:ascii="Calibri" w:hAnsi="Calibri" w:cstheme="minorBidi"/>
          <w:sz w:val="20"/>
          <w:szCs w:val="25"/>
          <w:lang w:val="en-US" w:bidi="th-TH"/>
        </w:rPr>
        <w:t>This was because the water itself had low rechargeability, but the presence of pyrite minerals in the environment was the main factor in improving rechargeability and lowering resistivity in conjunction with the high TDS and EC of the pore fluids. In contrast, normal aquifers exhibited almost the same resistivity range as geothermal water zones, but had extremely low normalized rechargeability values. With the combination of ERT and IP geoelectric approaches, the identification of geothermal water is more accurate and reliable than when only the resistivity anomaly is considered. This study summarizes that normalized chargeability is a desirable aspect for geoelectric investigation of geothermal water.</w:t>
      </w:r>
    </w:p>
    <w:p w14:paraId="5FDBD148" w14:textId="0EF89AAA" w:rsidR="002553CE" w:rsidRDefault="002553CE" w:rsidP="00E42D19">
      <w:pPr>
        <w:rPr>
          <w:rFonts w:ascii="Calibri" w:hAnsi="Calibri" w:cstheme="minorBidi"/>
          <w:sz w:val="20"/>
          <w:szCs w:val="25"/>
          <w:lang w:val="en-US" w:bidi="th-TH"/>
        </w:rPr>
      </w:pPr>
    </w:p>
    <w:p w14:paraId="7252279F" w14:textId="77777777" w:rsidR="002553CE" w:rsidRPr="00C64B50" w:rsidRDefault="002553CE" w:rsidP="00E42D19">
      <w:pPr>
        <w:rPr>
          <w:rFonts w:ascii="Calibri" w:hAnsi="Calibri" w:cstheme="minorBidi"/>
          <w:sz w:val="20"/>
          <w:szCs w:val="25"/>
          <w:lang w:val="en-US" w:bidi="th-TH"/>
        </w:rPr>
      </w:pPr>
    </w:p>
    <w:sectPr w:rsidR="002553CE" w:rsidRPr="00C64B50" w:rsidSect="00010F60">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54A58" w14:textId="77777777" w:rsidR="003B17D5" w:rsidRDefault="003B17D5" w:rsidP="00283357">
      <w:r>
        <w:separator/>
      </w:r>
    </w:p>
  </w:endnote>
  <w:endnote w:type="continuationSeparator" w:id="0">
    <w:p w14:paraId="7832D56C" w14:textId="77777777" w:rsidR="003B17D5" w:rsidRDefault="003B17D5"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FFC12" w14:textId="77777777" w:rsidR="003B17D5" w:rsidRDefault="003B17D5" w:rsidP="00283357">
      <w:r>
        <w:separator/>
      </w:r>
    </w:p>
  </w:footnote>
  <w:footnote w:type="continuationSeparator" w:id="0">
    <w:p w14:paraId="14147227" w14:textId="77777777" w:rsidR="003B17D5" w:rsidRDefault="003B17D5" w:rsidP="00283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10F60"/>
    <w:rsid w:val="00052560"/>
    <w:rsid w:val="000C1D4B"/>
    <w:rsid w:val="000E6427"/>
    <w:rsid w:val="0010106C"/>
    <w:rsid w:val="001F25C1"/>
    <w:rsid w:val="0023029C"/>
    <w:rsid w:val="002553CE"/>
    <w:rsid w:val="00280E27"/>
    <w:rsid w:val="00283357"/>
    <w:rsid w:val="00293C32"/>
    <w:rsid w:val="002F4286"/>
    <w:rsid w:val="00326AF6"/>
    <w:rsid w:val="00345C06"/>
    <w:rsid w:val="00352047"/>
    <w:rsid w:val="00381C36"/>
    <w:rsid w:val="00382230"/>
    <w:rsid w:val="00395119"/>
    <w:rsid w:val="003B17D5"/>
    <w:rsid w:val="003C0117"/>
    <w:rsid w:val="003C7532"/>
    <w:rsid w:val="003C7895"/>
    <w:rsid w:val="003D0603"/>
    <w:rsid w:val="004307B7"/>
    <w:rsid w:val="00475652"/>
    <w:rsid w:val="00503E78"/>
    <w:rsid w:val="00514B15"/>
    <w:rsid w:val="00524027"/>
    <w:rsid w:val="00531204"/>
    <w:rsid w:val="00534ECD"/>
    <w:rsid w:val="005521C1"/>
    <w:rsid w:val="00591D0F"/>
    <w:rsid w:val="0059560C"/>
    <w:rsid w:val="005A5897"/>
    <w:rsid w:val="00611BC5"/>
    <w:rsid w:val="00663777"/>
    <w:rsid w:val="00677A8A"/>
    <w:rsid w:val="007466D0"/>
    <w:rsid w:val="0077096B"/>
    <w:rsid w:val="00771F84"/>
    <w:rsid w:val="007D79C3"/>
    <w:rsid w:val="0082613A"/>
    <w:rsid w:val="00873FB1"/>
    <w:rsid w:val="008C0EEA"/>
    <w:rsid w:val="00920AFC"/>
    <w:rsid w:val="0098343B"/>
    <w:rsid w:val="009A3930"/>
    <w:rsid w:val="009C266F"/>
    <w:rsid w:val="009F7948"/>
    <w:rsid w:val="00A27781"/>
    <w:rsid w:val="00A77698"/>
    <w:rsid w:val="00BC239B"/>
    <w:rsid w:val="00BC52B0"/>
    <w:rsid w:val="00BE15E7"/>
    <w:rsid w:val="00BE4B17"/>
    <w:rsid w:val="00BE7B15"/>
    <w:rsid w:val="00C079DB"/>
    <w:rsid w:val="00C64B50"/>
    <w:rsid w:val="00C8147F"/>
    <w:rsid w:val="00CA132F"/>
    <w:rsid w:val="00CA39C3"/>
    <w:rsid w:val="00CA6443"/>
    <w:rsid w:val="00CD00D6"/>
    <w:rsid w:val="00CE5723"/>
    <w:rsid w:val="00D037A7"/>
    <w:rsid w:val="00D06523"/>
    <w:rsid w:val="00D127DE"/>
    <w:rsid w:val="00D35359"/>
    <w:rsid w:val="00D732D8"/>
    <w:rsid w:val="00D81427"/>
    <w:rsid w:val="00D846A1"/>
    <w:rsid w:val="00DC1B57"/>
    <w:rsid w:val="00DE2124"/>
    <w:rsid w:val="00E2060F"/>
    <w:rsid w:val="00E269DB"/>
    <w:rsid w:val="00E3459F"/>
    <w:rsid w:val="00E42D19"/>
    <w:rsid w:val="00E62919"/>
    <w:rsid w:val="00E62E7A"/>
    <w:rsid w:val="00EA2A88"/>
    <w:rsid w:val="00EB05A8"/>
    <w:rsid w:val="00EB741F"/>
    <w:rsid w:val="00EC2EEC"/>
    <w:rsid w:val="00EF0969"/>
    <w:rsid w:val="00F20EDE"/>
    <w:rsid w:val="00F36AAB"/>
    <w:rsid w:val="00F65CE0"/>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3</Pages>
  <Words>1058</Words>
  <Characters>6037</Characters>
  <Application>Microsoft Office Word</Application>
  <DocSecurity>0</DocSecurity>
  <Lines>50</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Nartmongkhol Songserm</cp:lastModifiedBy>
  <cp:revision>7</cp:revision>
  <dcterms:created xsi:type="dcterms:W3CDTF">2024-06-07T15:01:00Z</dcterms:created>
  <dcterms:modified xsi:type="dcterms:W3CDTF">2024-06-16T14:06:00Z</dcterms:modified>
</cp:coreProperties>
</file>