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0CC4C57C" w:rsidR="00E269DB" w:rsidRPr="00BE7B15" w:rsidRDefault="00692958" w:rsidP="000558FE">
      <w:pPr>
        <w:jc w:val="both"/>
        <w:rPr>
          <w:rFonts w:ascii="Calibri" w:hAnsi="Calibri" w:cs="Calibri"/>
          <w:b/>
          <w:bCs/>
          <w:sz w:val="28"/>
          <w:szCs w:val="28"/>
          <w:lang w:val="en-US"/>
        </w:rPr>
      </w:pPr>
      <w:r w:rsidRPr="00692958">
        <w:rPr>
          <w:rFonts w:ascii="Calibri" w:hAnsi="Calibri" w:cs="Calibri"/>
          <w:b/>
          <w:bCs/>
          <w:sz w:val="28"/>
          <w:szCs w:val="28"/>
          <w:lang w:val="en-US"/>
        </w:rPr>
        <w:t xml:space="preserve">Assessment of Groundwater Salinity Using Hydrogeochemical and Multivariate Approaches in </w:t>
      </w:r>
      <w:r>
        <w:rPr>
          <w:rFonts w:ascii="Calibri" w:hAnsi="Calibri" w:cs="Calibri"/>
          <w:b/>
          <w:bCs/>
          <w:sz w:val="28"/>
          <w:szCs w:val="28"/>
          <w:lang w:val="en-US"/>
        </w:rPr>
        <w:t xml:space="preserve">Ban Thum Area, </w:t>
      </w:r>
      <w:r w:rsidRPr="00692958">
        <w:rPr>
          <w:rFonts w:ascii="Calibri" w:hAnsi="Calibri" w:cs="Calibri"/>
          <w:b/>
          <w:bCs/>
          <w:sz w:val="28"/>
          <w:szCs w:val="28"/>
          <w:lang w:val="en-US"/>
        </w:rPr>
        <w:t>Mueang Khon Kaen, Northeast Thailand</w:t>
      </w:r>
      <w:r>
        <w:rPr>
          <w:rFonts w:ascii="Calibri" w:hAnsi="Calibri" w:cs="Calibri"/>
          <w:b/>
          <w:bCs/>
          <w:sz w:val="28"/>
          <w:szCs w:val="28"/>
          <w:lang w:val="en-US"/>
        </w:rPr>
        <w:t>.</w:t>
      </w:r>
    </w:p>
    <w:p w14:paraId="68C121EB" w14:textId="77777777" w:rsidR="00E269DB" w:rsidRPr="00BE7B15" w:rsidRDefault="00E269DB" w:rsidP="00E269DB">
      <w:pPr>
        <w:rPr>
          <w:rFonts w:ascii="Calibri" w:hAnsi="Calibri" w:cs="Calibri"/>
          <w:b/>
          <w:bCs/>
          <w:lang w:val="en-US"/>
        </w:rPr>
      </w:pPr>
    </w:p>
    <w:p w14:paraId="543F3446" w14:textId="378F445D" w:rsidR="00E269DB" w:rsidRPr="00BE7B15" w:rsidRDefault="00B80742" w:rsidP="00E269DB">
      <w:pPr>
        <w:rPr>
          <w:rFonts w:ascii="Calibri" w:hAnsi="Calibri" w:cs="Calibri"/>
          <w:lang w:val="en-US"/>
        </w:rPr>
      </w:pPr>
      <w:r>
        <w:rPr>
          <w:rFonts w:ascii="Calibri" w:hAnsi="Calibri" w:cs="Calibri"/>
          <w:lang w:val="en-US"/>
        </w:rPr>
        <w:t>Sutthipong Taweelarp</w:t>
      </w:r>
      <w:r w:rsidR="00E269DB" w:rsidRPr="00BE7B15">
        <w:rPr>
          <w:rFonts w:ascii="Calibri" w:hAnsi="Calibri" w:cs="Calibri"/>
          <w:lang w:val="en-US"/>
        </w:rPr>
        <w:t>;</w:t>
      </w:r>
      <w:r w:rsidR="00060839" w:rsidRPr="00060839">
        <w:t xml:space="preserve"> </w:t>
      </w:r>
      <w:r w:rsidR="00060839" w:rsidRPr="00060839">
        <w:rPr>
          <w:rFonts w:ascii="Calibri" w:hAnsi="Calibri" w:cs="Calibri"/>
          <w:lang w:val="en-US"/>
        </w:rPr>
        <w:t>Munlika Srichalee, Thanakrit Klungudom</w:t>
      </w:r>
    </w:p>
    <w:p w14:paraId="17C53D98" w14:textId="77777777" w:rsidR="00E269DB" w:rsidRPr="00BE7B15" w:rsidRDefault="00E269DB" w:rsidP="00E269DB">
      <w:pPr>
        <w:rPr>
          <w:rFonts w:ascii="Calibri" w:hAnsi="Calibri" w:cs="Calibri"/>
          <w:b/>
          <w:bCs/>
          <w:lang w:val="en-US"/>
        </w:rPr>
      </w:pPr>
    </w:p>
    <w:p w14:paraId="0873D9AA" w14:textId="1C51142B" w:rsidR="00E269DB" w:rsidRPr="00BE7B15" w:rsidRDefault="00060839" w:rsidP="001F25C1">
      <w:pPr>
        <w:ind w:left="142" w:hanging="142"/>
        <w:jc w:val="both"/>
        <w:rPr>
          <w:rFonts w:ascii="Calibri" w:hAnsi="Calibri" w:cs="Calibri"/>
          <w:vertAlign w:val="superscript"/>
          <w:lang w:val="en-US"/>
        </w:rPr>
      </w:pPr>
      <w:r>
        <w:rPr>
          <w:rFonts w:ascii="Calibri" w:hAnsi="Calibri" w:cs="Calibri"/>
          <w:lang w:val="en-US"/>
        </w:rPr>
        <w:t>Department of Geotechnology, Faculty of Technology, Khon Kaen University, Khon Kaen, Thailand</w:t>
      </w:r>
    </w:p>
    <w:p w14:paraId="5F72023B" w14:textId="77777777" w:rsidR="00E269DB" w:rsidRPr="00BE7B15" w:rsidRDefault="00E269DB" w:rsidP="00E269DB">
      <w:pPr>
        <w:rPr>
          <w:rFonts w:ascii="Calibri" w:hAnsi="Calibri" w:cs="Calibri"/>
          <w:b/>
          <w:bCs/>
          <w:lang w:val="en-US"/>
        </w:rPr>
      </w:pPr>
    </w:p>
    <w:p w14:paraId="48C299FC" w14:textId="37EB6478"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060839">
        <w:rPr>
          <w:rFonts w:ascii="Calibri" w:hAnsi="Calibri" w:cs="Calibri"/>
          <w:lang w:val="en-US"/>
        </w:rPr>
        <w:t>sutthita@kku.ac.th</w:t>
      </w:r>
    </w:p>
    <w:p w14:paraId="6C9A26C5" w14:textId="77777777" w:rsidR="00E269DB" w:rsidRPr="00BE7B15" w:rsidRDefault="00E269DB" w:rsidP="00E269DB">
      <w:pPr>
        <w:rPr>
          <w:rFonts w:ascii="Calibri" w:hAnsi="Calibri" w:cs="Calibri"/>
          <w:b/>
          <w:bCs/>
          <w:lang w:val="en-US"/>
        </w:rPr>
      </w:pPr>
    </w:p>
    <w:p w14:paraId="36E965A7" w14:textId="74790496" w:rsidR="00802768" w:rsidRDefault="00802768" w:rsidP="00084BCD">
      <w:pPr>
        <w:spacing w:after="120"/>
        <w:jc w:val="both"/>
        <w:rPr>
          <w:rFonts w:ascii="Calibri" w:hAnsi="Calibri" w:cs="Calibri"/>
          <w:lang w:val="en-US"/>
        </w:rPr>
      </w:pPr>
      <w:r w:rsidRPr="00802768">
        <w:rPr>
          <w:rFonts w:ascii="Calibri" w:hAnsi="Calibri" w:cs="Calibri"/>
          <w:lang w:val="en-US"/>
        </w:rPr>
        <w:t>Northeast Thailand faces widespread soil and groundwater salinity issues, which adversely affect agricultural productivity, water quality, and ecosystem health. Moreover, increasing urbanization, industrialization, and agricultural expansion have heightened the demand for groundwater resources and amplified the risk of extensive groundwater and soil salinity problems in Ban Thum subdistrict, Mueang Khon Kaen district. To analyze these processes in shallow groundwater, this study employs multivariate statistical methods.</w:t>
      </w:r>
    </w:p>
    <w:p w14:paraId="01361EF7" w14:textId="3745D07E" w:rsidR="00802768" w:rsidRDefault="00802768" w:rsidP="00084BCD">
      <w:pPr>
        <w:spacing w:after="120"/>
        <w:jc w:val="both"/>
        <w:rPr>
          <w:rFonts w:ascii="Calibri" w:hAnsi="Calibri" w:cs="Calibri"/>
          <w:lang w:val="en-US"/>
        </w:rPr>
      </w:pPr>
      <w:r w:rsidRPr="00802768">
        <w:rPr>
          <w:rFonts w:ascii="Calibri" w:hAnsi="Calibri" w:cs="Calibri"/>
          <w:lang w:val="en-US"/>
        </w:rPr>
        <w:t xml:space="preserve">Groundwater samples collected from various locations within the subdistrict were analyzed for key hydrogeochemical parameters, including total dissolved solids, major cations, major anions, and some heavy metal ions. Hierarchical cluster analysis (HCA), </w:t>
      </w:r>
      <w:r>
        <w:rPr>
          <w:rFonts w:ascii="Calibri" w:hAnsi="Calibri" w:cs="Calibri"/>
          <w:lang w:val="en-US"/>
        </w:rPr>
        <w:t>P</w:t>
      </w:r>
      <w:r w:rsidRPr="00802768">
        <w:rPr>
          <w:rFonts w:ascii="Calibri" w:hAnsi="Calibri" w:cs="Calibri"/>
          <w:lang w:val="en-US"/>
        </w:rPr>
        <w:t>rincipal component analysis (PCA), and graphical methods were then applied to identify the dominant factors influencing groundwater chemistry and to classify water samples based on their chemical similarities.</w:t>
      </w:r>
    </w:p>
    <w:p w14:paraId="48EAD8F2" w14:textId="27F9D9E0" w:rsidR="00802768" w:rsidRDefault="00802768" w:rsidP="00084BCD">
      <w:pPr>
        <w:spacing w:after="120"/>
        <w:jc w:val="both"/>
        <w:rPr>
          <w:rFonts w:ascii="Calibri" w:hAnsi="Calibri" w:cs="Calibri"/>
          <w:lang w:val="en-US"/>
        </w:rPr>
      </w:pPr>
      <w:r w:rsidRPr="00802768">
        <w:rPr>
          <w:rFonts w:ascii="Calibri" w:hAnsi="Calibri" w:cs="Calibri"/>
          <w:lang w:val="en-US"/>
        </w:rPr>
        <w:t>The HCA classified the hydrogeochemical data into three main clusters. The first cluster represents less mineralized groundwater, potentially originating from areas with limited geochemical interaction or rapid recharge. The second cluster, characterized by medium ion concentrations, likely originates from regions with moderate mineral dissolution. The third cluster displays high concentrations of various ions, indicating saline groundwater. Furthermore, the PCA reduced the dimensionality of the data into two principal components: one representing high salinity with elevated Na</w:t>
      </w:r>
      <w:r w:rsidRPr="00802768">
        <w:rPr>
          <w:rFonts w:ascii="Calibri" w:hAnsi="Calibri" w:cs="Calibri"/>
          <w:vertAlign w:val="superscript"/>
          <w:lang w:val="en-US"/>
        </w:rPr>
        <w:t>+</w:t>
      </w:r>
      <w:r w:rsidRPr="00802768">
        <w:rPr>
          <w:rFonts w:ascii="Calibri" w:hAnsi="Calibri" w:cs="Calibri"/>
          <w:lang w:val="en-US"/>
        </w:rPr>
        <w:t xml:space="preserve"> and Cl</w:t>
      </w:r>
      <w:r w:rsidRPr="00802768">
        <w:rPr>
          <w:rFonts w:ascii="Calibri" w:hAnsi="Calibri" w:cs="Calibri"/>
          <w:vertAlign w:val="superscript"/>
          <w:lang w:val="en-US"/>
        </w:rPr>
        <w:t>-</w:t>
      </w:r>
      <w:r w:rsidRPr="00802768">
        <w:rPr>
          <w:rFonts w:ascii="Calibri" w:hAnsi="Calibri" w:cs="Calibri"/>
          <w:lang w:val="en-US"/>
        </w:rPr>
        <w:t xml:space="preserve"> concentrations, and the other representing fresh water.</w:t>
      </w:r>
    </w:p>
    <w:p w14:paraId="1C5A04FE" w14:textId="5C82C619" w:rsidR="00802768" w:rsidRDefault="00802768" w:rsidP="00084BCD">
      <w:pPr>
        <w:spacing w:after="120"/>
        <w:jc w:val="both"/>
        <w:rPr>
          <w:rFonts w:ascii="Calibri" w:hAnsi="Calibri" w:cs="Calibri"/>
          <w:lang w:val="en-US"/>
        </w:rPr>
      </w:pPr>
      <w:r w:rsidRPr="00802768">
        <w:rPr>
          <w:rFonts w:ascii="Calibri" w:hAnsi="Calibri" w:cs="Calibri"/>
          <w:lang w:val="en-US"/>
        </w:rPr>
        <w:t>Additionally, the application of hydrochemical diagrams, such as the Piper trilinear diagram and Gibbs diagram, provided valuable insights into the hydrogeochemical facies and processes impacting the groundwater in this area. Notably, the predominance of 40% of groundwater samples falling within the sodium-chloride facies, coupled with a trend of increasing sodium and chloride concentrations from the recharge area to the discharge area, suggests the impact of halite dissolution within the groundwater system. Moreover, the Gibbs diagram indicates that rock weathering is the primary influence on groundwater composition.</w:t>
      </w:r>
    </w:p>
    <w:p w14:paraId="3D46C338" w14:textId="3130C554" w:rsidR="00802768" w:rsidRDefault="00802768" w:rsidP="00084BCD">
      <w:pPr>
        <w:spacing w:after="120"/>
        <w:jc w:val="both"/>
        <w:rPr>
          <w:rFonts w:ascii="Calibri" w:hAnsi="Calibri" w:cs="Calibri"/>
          <w:lang w:val="en-US"/>
        </w:rPr>
      </w:pPr>
      <w:r w:rsidRPr="00802768">
        <w:rPr>
          <w:rFonts w:ascii="Calibri" w:hAnsi="Calibri" w:cs="Calibri"/>
          <w:lang w:val="en-US"/>
        </w:rPr>
        <w:t>Furthermore, there is clear evidence of interactions between fresh and saline groundwater, resulting in high sodium-chloride and total dissolved solids content in the groundwater samples. Binary plot analysis of Ca</w:t>
      </w:r>
      <w:r w:rsidRPr="00802768">
        <w:rPr>
          <w:rFonts w:ascii="Calibri" w:hAnsi="Calibri" w:cs="Calibri"/>
          <w:vertAlign w:val="superscript"/>
          <w:lang w:val="en-US"/>
        </w:rPr>
        <w:t>2+</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versus HCO</w:t>
      </w:r>
      <w:r w:rsidRPr="00802768">
        <w:rPr>
          <w:rFonts w:ascii="Calibri" w:hAnsi="Calibri" w:cs="Calibri"/>
          <w:vertAlign w:val="subscript"/>
          <w:lang w:val="en-US"/>
        </w:rPr>
        <w:t>3</w:t>
      </w:r>
      <w:r w:rsidRPr="00802768">
        <w:rPr>
          <w:rFonts w:ascii="Calibri" w:hAnsi="Calibri" w:cs="Calibri"/>
          <w:vertAlign w:val="superscript"/>
          <w:lang w:val="en-US"/>
        </w:rPr>
        <w:t>-</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and Ca</w:t>
      </w:r>
      <w:r w:rsidRPr="00802768">
        <w:rPr>
          <w:rFonts w:ascii="Calibri" w:hAnsi="Calibri" w:cs="Calibri"/>
          <w:vertAlign w:val="superscript"/>
          <w:lang w:val="en-US"/>
        </w:rPr>
        <w:t>2+</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versus Mg</w:t>
      </w:r>
      <w:r w:rsidRPr="00802768">
        <w:rPr>
          <w:rFonts w:ascii="Calibri" w:hAnsi="Calibri" w:cs="Calibri"/>
          <w:vertAlign w:val="superscript"/>
          <w:lang w:val="en-US"/>
        </w:rPr>
        <w:t>2+</w:t>
      </w:r>
      <w:r w:rsidRPr="00802768">
        <w:rPr>
          <w:rFonts w:ascii="Calibri" w:hAnsi="Calibri" w:cs="Calibri"/>
          <w:lang w:val="en-US"/>
        </w:rPr>
        <w:t>/Na</w:t>
      </w:r>
      <w:r w:rsidRPr="00802768">
        <w:rPr>
          <w:rFonts w:ascii="Calibri" w:hAnsi="Calibri" w:cs="Calibri"/>
          <w:vertAlign w:val="superscript"/>
          <w:lang w:val="en-US"/>
        </w:rPr>
        <w:t>+</w:t>
      </w:r>
      <w:r w:rsidRPr="00802768">
        <w:rPr>
          <w:rFonts w:ascii="Calibri" w:hAnsi="Calibri" w:cs="Calibri"/>
          <w:lang w:val="en-US"/>
        </w:rPr>
        <w:t xml:space="preserve"> suggests that most groundwater samples are plotted in the zone of evaporite dissolution. Likewise, the chloro-alkaline indices and binary plot analysis of Ca</w:t>
      </w:r>
      <w:r w:rsidRPr="00802768">
        <w:rPr>
          <w:rFonts w:ascii="Calibri" w:hAnsi="Calibri" w:cs="Calibri"/>
          <w:vertAlign w:val="superscript"/>
          <w:lang w:val="en-US"/>
        </w:rPr>
        <w:t>2+</w:t>
      </w:r>
      <w:r w:rsidRPr="00802768">
        <w:rPr>
          <w:rFonts w:ascii="Calibri" w:hAnsi="Calibri" w:cs="Calibri"/>
          <w:lang w:val="en-US"/>
        </w:rPr>
        <w:t xml:space="preserve"> + Mg</w:t>
      </w:r>
      <w:r w:rsidRPr="00802768">
        <w:rPr>
          <w:rFonts w:ascii="Calibri" w:hAnsi="Calibri" w:cs="Calibri"/>
          <w:vertAlign w:val="superscript"/>
          <w:lang w:val="en-US"/>
        </w:rPr>
        <w:t>2+</w:t>
      </w:r>
      <w:r w:rsidRPr="00802768">
        <w:rPr>
          <w:rFonts w:ascii="Calibri" w:hAnsi="Calibri" w:cs="Calibri"/>
          <w:lang w:val="en-US"/>
        </w:rPr>
        <w:t xml:space="preserve"> versus Na</w:t>
      </w:r>
      <w:r w:rsidRPr="00802768">
        <w:rPr>
          <w:rFonts w:ascii="Calibri" w:hAnsi="Calibri" w:cs="Calibri"/>
          <w:vertAlign w:val="superscript"/>
          <w:lang w:val="en-US"/>
        </w:rPr>
        <w:t>+</w:t>
      </w:r>
      <w:r w:rsidRPr="00802768">
        <w:rPr>
          <w:rFonts w:ascii="Calibri" w:hAnsi="Calibri" w:cs="Calibri"/>
          <w:lang w:val="en-US"/>
        </w:rPr>
        <w:t xml:space="preserve"> indicated reverse cation exchange between the groundwater and aquifer materials.</w:t>
      </w:r>
    </w:p>
    <w:p w14:paraId="1F346B3F" w14:textId="27E4DDEC" w:rsidR="000F03DA" w:rsidRDefault="000F03DA" w:rsidP="007466D0">
      <w:pPr>
        <w:rPr>
          <w:rFonts w:ascii="Calibri" w:hAnsi="Calibri" w:cs="Calibri"/>
          <w:lang w:val="en-US"/>
        </w:rPr>
      </w:pPr>
      <w:r w:rsidRPr="000F03DA">
        <w:rPr>
          <w:rFonts w:ascii="Calibri" w:hAnsi="Calibri" w:cs="Calibri"/>
          <w:lang w:val="en-US"/>
        </w:rPr>
        <w:t>In conclusion, this study offers a comprehensive understanding of the chemical properties of groundwater in the example salinity area in Northeast Thailand. Moreover, it provides a basis for resolving salinity problems, identifying the extent of salinity sources, enhancing groundwater utilization, and designing protective measures, all of which will contribute to ensuring the long-term sustainability of this essential resource.</w:t>
      </w:r>
    </w:p>
    <w:p w14:paraId="4E0217B9" w14:textId="77777777" w:rsidR="000F03DA" w:rsidRDefault="000F03DA" w:rsidP="007466D0">
      <w:pPr>
        <w:rPr>
          <w:rFonts w:ascii="Calibri" w:hAnsi="Calibri" w:cs="Calibri"/>
          <w:b/>
          <w:bCs/>
          <w:lang w:val="en-US"/>
        </w:rPr>
      </w:pPr>
    </w:p>
    <w:p w14:paraId="7C276002" w14:textId="3F119763" w:rsidR="00E269DB" w:rsidRPr="002960F1" w:rsidRDefault="007466D0" w:rsidP="00670E9A">
      <w:pPr>
        <w:rPr>
          <w:rFonts w:ascii="Calibri" w:hAnsi="Calibri" w:cs="Calibri"/>
          <w:sz w:val="20"/>
          <w:szCs w:val="20"/>
          <w:lang w:val="en-US"/>
        </w:rPr>
      </w:pPr>
      <w:r w:rsidRPr="00BE7B15">
        <w:rPr>
          <w:rFonts w:ascii="Calibri" w:hAnsi="Calibri" w:cs="Calibri"/>
          <w:b/>
          <w:bCs/>
          <w:lang w:val="en-US"/>
        </w:rPr>
        <w:t xml:space="preserve">Keywords: </w:t>
      </w:r>
      <w:r w:rsidR="002960F1">
        <w:rPr>
          <w:rFonts w:ascii="Calibri" w:hAnsi="Calibri" w:cs="Calibri"/>
          <w:lang w:val="en-US"/>
        </w:rPr>
        <w:t>Groundwater Salinity</w:t>
      </w:r>
      <w:r w:rsidRPr="00BE7B15">
        <w:rPr>
          <w:rFonts w:ascii="Calibri" w:hAnsi="Calibri" w:cs="Calibri"/>
          <w:lang w:val="en-US"/>
        </w:rPr>
        <w:t xml:space="preserve">; </w:t>
      </w:r>
      <w:r w:rsidR="00393C94">
        <w:rPr>
          <w:rFonts w:ascii="Calibri" w:hAnsi="Calibri" w:cs="Calibri"/>
          <w:lang w:val="en-US"/>
        </w:rPr>
        <w:t>Multivariate Statistical Analysis; Khon Kaen</w:t>
      </w:r>
    </w:p>
    <w:sectPr w:rsidR="00E269DB" w:rsidRPr="002960F1" w:rsidSect="00670E9A">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25C5F" w14:textId="77777777" w:rsidR="000973D7" w:rsidRDefault="000973D7" w:rsidP="00283357">
      <w:r>
        <w:separator/>
      </w:r>
    </w:p>
  </w:endnote>
  <w:endnote w:type="continuationSeparator" w:id="0">
    <w:p w14:paraId="31251216" w14:textId="77777777" w:rsidR="000973D7" w:rsidRDefault="000973D7"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50B5E" w14:textId="77777777" w:rsidR="000973D7" w:rsidRDefault="000973D7" w:rsidP="00283357">
      <w:r>
        <w:separator/>
      </w:r>
    </w:p>
  </w:footnote>
  <w:footnote w:type="continuationSeparator" w:id="0">
    <w:p w14:paraId="5303D45A" w14:textId="77777777" w:rsidR="000973D7" w:rsidRDefault="000973D7"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10044"/>
    <w:rsid w:val="00052560"/>
    <w:rsid w:val="000558FE"/>
    <w:rsid w:val="00060839"/>
    <w:rsid w:val="0008056F"/>
    <w:rsid w:val="00084BCD"/>
    <w:rsid w:val="000973D7"/>
    <w:rsid w:val="000C1D4B"/>
    <w:rsid w:val="000E6427"/>
    <w:rsid w:val="000F03DA"/>
    <w:rsid w:val="0010106C"/>
    <w:rsid w:val="001211E9"/>
    <w:rsid w:val="001F25C1"/>
    <w:rsid w:val="0023029C"/>
    <w:rsid w:val="0023061B"/>
    <w:rsid w:val="00283357"/>
    <w:rsid w:val="00293C32"/>
    <w:rsid w:val="002960F1"/>
    <w:rsid w:val="002F4286"/>
    <w:rsid w:val="00326AF6"/>
    <w:rsid w:val="00352047"/>
    <w:rsid w:val="00381C36"/>
    <w:rsid w:val="00382230"/>
    <w:rsid w:val="00393C94"/>
    <w:rsid w:val="00395119"/>
    <w:rsid w:val="003B6E98"/>
    <w:rsid w:val="003C0117"/>
    <w:rsid w:val="003C7532"/>
    <w:rsid w:val="003C7895"/>
    <w:rsid w:val="003D0603"/>
    <w:rsid w:val="00421ED9"/>
    <w:rsid w:val="004307B7"/>
    <w:rsid w:val="00503E78"/>
    <w:rsid w:val="00504BBE"/>
    <w:rsid w:val="00511647"/>
    <w:rsid w:val="00514B15"/>
    <w:rsid w:val="00524027"/>
    <w:rsid w:val="00531204"/>
    <w:rsid w:val="00582E1A"/>
    <w:rsid w:val="00591D0F"/>
    <w:rsid w:val="0059560C"/>
    <w:rsid w:val="005A5897"/>
    <w:rsid w:val="005D41AE"/>
    <w:rsid w:val="00611BC5"/>
    <w:rsid w:val="00650E23"/>
    <w:rsid w:val="00663777"/>
    <w:rsid w:val="00670E9A"/>
    <w:rsid w:val="00692958"/>
    <w:rsid w:val="007466D0"/>
    <w:rsid w:val="0077096B"/>
    <w:rsid w:val="00771F84"/>
    <w:rsid w:val="00802768"/>
    <w:rsid w:val="0082613A"/>
    <w:rsid w:val="008C0EEA"/>
    <w:rsid w:val="008D6F44"/>
    <w:rsid w:val="008E00AB"/>
    <w:rsid w:val="00920AFC"/>
    <w:rsid w:val="00931BA4"/>
    <w:rsid w:val="0098343B"/>
    <w:rsid w:val="009A3930"/>
    <w:rsid w:val="009C266F"/>
    <w:rsid w:val="009F7948"/>
    <w:rsid w:val="00A27781"/>
    <w:rsid w:val="00A77698"/>
    <w:rsid w:val="00B80742"/>
    <w:rsid w:val="00B831D5"/>
    <w:rsid w:val="00BC239B"/>
    <w:rsid w:val="00BC52B0"/>
    <w:rsid w:val="00BE15E7"/>
    <w:rsid w:val="00BE4B17"/>
    <w:rsid w:val="00BE7B15"/>
    <w:rsid w:val="00C40AD7"/>
    <w:rsid w:val="00C8147F"/>
    <w:rsid w:val="00CA132F"/>
    <w:rsid w:val="00CA6443"/>
    <w:rsid w:val="00CD00D6"/>
    <w:rsid w:val="00CE5723"/>
    <w:rsid w:val="00D037A7"/>
    <w:rsid w:val="00D127DE"/>
    <w:rsid w:val="00D35359"/>
    <w:rsid w:val="00D732D8"/>
    <w:rsid w:val="00D81427"/>
    <w:rsid w:val="00D846A1"/>
    <w:rsid w:val="00DC1B57"/>
    <w:rsid w:val="00DC3259"/>
    <w:rsid w:val="00E2060F"/>
    <w:rsid w:val="00E2444A"/>
    <w:rsid w:val="00E269DB"/>
    <w:rsid w:val="00E3459F"/>
    <w:rsid w:val="00E62919"/>
    <w:rsid w:val="00E62E7A"/>
    <w:rsid w:val="00EA2A88"/>
    <w:rsid w:val="00EB05A8"/>
    <w:rsid w:val="00EB741F"/>
    <w:rsid w:val="00EC2EEC"/>
    <w:rsid w:val="00EF0969"/>
    <w:rsid w:val="00F05E13"/>
    <w:rsid w:val="00F20EDE"/>
    <w:rsid w:val="00F36AAB"/>
    <w:rsid w:val="00F65CE0"/>
    <w:rsid w:val="00F72B01"/>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397">
      <w:bodyDiv w:val="1"/>
      <w:marLeft w:val="0"/>
      <w:marRight w:val="0"/>
      <w:marTop w:val="0"/>
      <w:marBottom w:val="0"/>
      <w:divBdr>
        <w:top w:val="none" w:sz="0" w:space="0" w:color="auto"/>
        <w:left w:val="none" w:sz="0" w:space="0" w:color="auto"/>
        <w:bottom w:val="none" w:sz="0" w:space="0" w:color="auto"/>
        <w:right w:val="none" w:sz="0" w:space="0" w:color="auto"/>
      </w:divBdr>
    </w:div>
    <w:div w:id="80108873">
      <w:bodyDiv w:val="1"/>
      <w:marLeft w:val="0"/>
      <w:marRight w:val="0"/>
      <w:marTop w:val="0"/>
      <w:marBottom w:val="0"/>
      <w:divBdr>
        <w:top w:val="none" w:sz="0" w:space="0" w:color="auto"/>
        <w:left w:val="none" w:sz="0" w:space="0" w:color="auto"/>
        <w:bottom w:val="none" w:sz="0" w:space="0" w:color="auto"/>
        <w:right w:val="none" w:sz="0" w:space="0" w:color="auto"/>
      </w:divBdr>
    </w:div>
    <w:div w:id="900599009">
      <w:bodyDiv w:val="1"/>
      <w:marLeft w:val="0"/>
      <w:marRight w:val="0"/>
      <w:marTop w:val="0"/>
      <w:marBottom w:val="0"/>
      <w:divBdr>
        <w:top w:val="none" w:sz="0" w:space="0" w:color="auto"/>
        <w:left w:val="none" w:sz="0" w:space="0" w:color="auto"/>
        <w:bottom w:val="none" w:sz="0" w:space="0" w:color="auto"/>
        <w:right w:val="none" w:sz="0" w:space="0" w:color="auto"/>
      </w:divBdr>
    </w:div>
    <w:div w:id="125667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544</Words>
  <Characters>3101</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Sutthipong Taweelarp</cp:lastModifiedBy>
  <cp:revision>10</cp:revision>
  <dcterms:created xsi:type="dcterms:W3CDTF">2024-06-15T07:17:00Z</dcterms:created>
  <dcterms:modified xsi:type="dcterms:W3CDTF">2024-06-16T11:37:00Z</dcterms:modified>
</cp:coreProperties>
</file>