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A1943" w14:textId="1DF0B0C7" w:rsidR="00111581" w:rsidRPr="00B25856" w:rsidRDefault="00A80C09" w:rsidP="00B25856">
      <w:pPr>
        <w:spacing w:line="240" w:lineRule="auto"/>
        <w:rPr>
          <w:rFonts w:eastAsia="Times New Roman" w:cstheme="minorHAnsi"/>
          <w:b/>
          <w:sz w:val="28"/>
          <w:szCs w:val="28"/>
          <w:lang w:val="en-GB" w:eastAsia="de-DE" w:bidi="fr-FR"/>
        </w:rPr>
      </w:pPr>
      <w:r w:rsidRPr="00B25856">
        <w:rPr>
          <w:rFonts w:eastAsia="Times New Roman" w:cstheme="minorHAnsi"/>
          <w:b/>
          <w:color w:val="0D0D0D"/>
          <w:sz w:val="28"/>
          <w:szCs w:val="28"/>
          <w:lang w:val="en-GB" w:eastAsia="de-DE" w:bidi="fr-FR"/>
        </w:rPr>
        <w:t xml:space="preserve">DELINEATION OF GROUNDWATER BODIES THE KURA RIVER BASIN UPPER MINGACHEVIR RESERVOIR </w:t>
      </w:r>
      <w:r w:rsidRPr="00B25856">
        <w:rPr>
          <w:rFonts w:eastAsia="Times New Roman" w:cstheme="minorHAnsi"/>
          <w:b/>
          <w:sz w:val="28"/>
          <w:szCs w:val="28"/>
          <w:lang w:val="en-GB" w:eastAsia="de-DE" w:bidi="fr-FR"/>
        </w:rPr>
        <w:t>DAM IN THE REPUBLIC OF AZERBAIJAN</w:t>
      </w:r>
    </w:p>
    <w:p w14:paraId="0F037053" w14:textId="12FE60A1" w:rsidR="006C645D" w:rsidRPr="00B25856" w:rsidRDefault="00C112EB" w:rsidP="0060659B">
      <w:pPr>
        <w:spacing w:line="240" w:lineRule="auto"/>
        <w:jc w:val="center"/>
        <w:rPr>
          <w:rFonts w:eastAsia="Times New Roman" w:cstheme="minorHAnsi"/>
          <w:b/>
          <w:sz w:val="24"/>
          <w:szCs w:val="24"/>
          <w:lang w:val="az-Latn-AZ" w:eastAsia="de-DE" w:bidi="fr-FR"/>
        </w:rPr>
      </w:pPr>
      <w:r w:rsidRPr="00B25856">
        <w:rPr>
          <w:rFonts w:eastAsia="Times New Roman" w:cstheme="minorHAnsi"/>
          <w:b/>
          <w:sz w:val="24"/>
          <w:szCs w:val="24"/>
          <w:lang w:val="az-Latn-AZ" w:eastAsia="de-DE" w:bidi="fr-FR"/>
        </w:rPr>
        <w:t>Rashail İsmayilov</w:t>
      </w:r>
    </w:p>
    <w:p w14:paraId="1054744D" w14:textId="77777777" w:rsidR="0060659B" w:rsidRPr="00B25856" w:rsidRDefault="0060659B" w:rsidP="00A71FDC">
      <w:pPr>
        <w:spacing w:after="0" w:line="240" w:lineRule="auto"/>
        <w:jc w:val="center"/>
        <w:rPr>
          <w:rFonts w:cstheme="minorHAnsi"/>
          <w:color w:val="000000"/>
          <w:sz w:val="24"/>
          <w:szCs w:val="24"/>
          <w:lang w:val="en-US"/>
        </w:rPr>
      </w:pPr>
      <w:r w:rsidRPr="00B25856">
        <w:rPr>
          <w:rFonts w:eastAsia="Times New Roman" w:cstheme="minorHAnsi"/>
          <w:color w:val="0D0D0D"/>
          <w:sz w:val="24"/>
          <w:szCs w:val="24"/>
          <w:lang w:val="en-GB" w:eastAsia="de-DE" w:bidi="fr-FR"/>
        </w:rPr>
        <w:t>Azerbaijan State Water Resources Agency</w:t>
      </w:r>
      <w:r w:rsidR="006C645D" w:rsidRPr="00B25856">
        <w:rPr>
          <w:rFonts w:cstheme="minorHAnsi"/>
          <w:color w:val="000000"/>
          <w:sz w:val="24"/>
          <w:szCs w:val="24"/>
          <w:lang w:val="en-US"/>
        </w:rPr>
        <w:t xml:space="preserve">, </w:t>
      </w:r>
    </w:p>
    <w:p w14:paraId="60694663" w14:textId="3E1CE926" w:rsidR="00503519" w:rsidRPr="00B25856" w:rsidRDefault="006C645D" w:rsidP="00503519">
      <w:pPr>
        <w:spacing w:after="0" w:line="240" w:lineRule="auto"/>
        <w:jc w:val="center"/>
        <w:rPr>
          <w:rFonts w:cstheme="minorHAnsi"/>
          <w:color w:val="000000"/>
          <w:sz w:val="24"/>
          <w:szCs w:val="24"/>
          <w:lang w:val="en-US"/>
        </w:rPr>
      </w:pPr>
      <w:r w:rsidRPr="00B25856">
        <w:rPr>
          <w:rFonts w:cstheme="minorHAnsi"/>
          <w:color w:val="000000"/>
          <w:sz w:val="24"/>
          <w:szCs w:val="24"/>
          <w:lang w:val="en-US"/>
        </w:rPr>
        <w:t>Baku, Azerbaijan,</w:t>
      </w:r>
      <w:r w:rsidR="00503519" w:rsidRPr="00B25856">
        <w:rPr>
          <w:rFonts w:eastAsia="Times New Roman" w:cstheme="minorHAnsi"/>
          <w:color w:val="000000"/>
          <w:sz w:val="24"/>
          <w:szCs w:val="24"/>
          <w:lang w:val="en-US"/>
        </w:rPr>
        <w:t xml:space="preserve"> </w:t>
      </w:r>
      <w:r w:rsidR="00503519" w:rsidRPr="00B25856">
        <w:rPr>
          <w:rFonts w:cstheme="minorHAnsi"/>
          <w:color w:val="000000"/>
          <w:sz w:val="24"/>
          <w:szCs w:val="24"/>
          <w:lang w:val="en-US"/>
        </w:rPr>
        <w:t>AZ1012, Baku, Azerbaijan,</w:t>
      </w:r>
    </w:p>
    <w:p w14:paraId="41BE2958" w14:textId="77777777" w:rsidR="00503519" w:rsidRPr="00B25856" w:rsidRDefault="00503519" w:rsidP="00503519">
      <w:pPr>
        <w:spacing w:after="0" w:line="240" w:lineRule="auto"/>
        <w:jc w:val="center"/>
        <w:rPr>
          <w:rFonts w:cstheme="minorHAnsi"/>
          <w:color w:val="000000"/>
          <w:sz w:val="24"/>
          <w:szCs w:val="24"/>
          <w:lang w:val="en-US"/>
        </w:rPr>
      </w:pPr>
      <w:r w:rsidRPr="00B25856">
        <w:rPr>
          <w:rFonts w:cstheme="minorHAnsi"/>
          <w:color w:val="000000"/>
          <w:sz w:val="24"/>
          <w:szCs w:val="24"/>
          <w:lang w:val="en-US"/>
        </w:rPr>
        <w:t xml:space="preserve">73, </w:t>
      </w:r>
      <w:proofErr w:type="gramStart"/>
      <w:r w:rsidRPr="00B25856">
        <w:rPr>
          <w:rFonts w:cstheme="minorHAnsi"/>
          <w:color w:val="000000"/>
          <w:sz w:val="24"/>
          <w:szCs w:val="24"/>
          <w:lang w:val="en-US"/>
        </w:rPr>
        <w:t>Moscow avenue</w:t>
      </w:r>
      <w:proofErr w:type="gramEnd"/>
    </w:p>
    <w:p w14:paraId="6DA1BA62" w14:textId="3744E598" w:rsidR="00C112EB" w:rsidRPr="00B25856" w:rsidRDefault="006C645D" w:rsidP="00A71FDC">
      <w:pPr>
        <w:spacing w:after="0" w:line="240" w:lineRule="auto"/>
        <w:jc w:val="center"/>
        <w:rPr>
          <w:rFonts w:cstheme="minorHAnsi"/>
          <w:color w:val="000000"/>
          <w:sz w:val="24"/>
          <w:szCs w:val="24"/>
          <w:lang w:val="en-US"/>
        </w:rPr>
      </w:pPr>
      <w:r w:rsidRPr="00B25856">
        <w:rPr>
          <w:rFonts w:cstheme="minorHAnsi"/>
          <w:color w:val="000000"/>
          <w:sz w:val="24"/>
          <w:szCs w:val="24"/>
          <w:lang w:val="en-US"/>
        </w:rPr>
        <w:t xml:space="preserve"> </w:t>
      </w:r>
      <w:hyperlink r:id="rId5" w:history="1">
        <w:r w:rsidRPr="00B25856">
          <w:rPr>
            <w:rStyle w:val="Hyperlink"/>
            <w:rFonts w:cstheme="minorHAnsi"/>
            <w:sz w:val="24"/>
            <w:szCs w:val="24"/>
            <w:lang w:val="en-US"/>
          </w:rPr>
          <w:t>rashail.ismayilov@gmail.com</w:t>
        </w:r>
      </w:hyperlink>
    </w:p>
    <w:p w14:paraId="4CF87ABA" w14:textId="77777777" w:rsidR="006C645D" w:rsidRPr="00B25856" w:rsidRDefault="006C645D" w:rsidP="00A71FDC">
      <w:pPr>
        <w:spacing w:after="0" w:line="240" w:lineRule="auto"/>
        <w:jc w:val="center"/>
        <w:rPr>
          <w:rFonts w:cstheme="minorHAnsi"/>
          <w:color w:val="000000"/>
          <w:sz w:val="24"/>
          <w:szCs w:val="24"/>
          <w:lang w:val="en-US"/>
        </w:rPr>
      </w:pPr>
    </w:p>
    <w:p w14:paraId="4D56B20D" w14:textId="77777777" w:rsidR="00A71FDC" w:rsidRPr="00503519" w:rsidRDefault="00A71FDC" w:rsidP="00A71FDC">
      <w:pPr>
        <w:spacing w:after="0" w:line="240" w:lineRule="auto"/>
        <w:ind w:firstLine="708"/>
        <w:jc w:val="both"/>
        <w:rPr>
          <w:rFonts w:ascii="Arial" w:hAnsi="Arial" w:cs="Arial"/>
          <w:sz w:val="24"/>
          <w:szCs w:val="24"/>
          <w:lang w:val="en-US"/>
        </w:rPr>
      </w:pPr>
    </w:p>
    <w:p w14:paraId="11F98866" w14:textId="77777777" w:rsidR="00A71FDC" w:rsidRPr="00B25856" w:rsidRDefault="00A71FDC" w:rsidP="00A71FDC">
      <w:pPr>
        <w:spacing w:after="0" w:line="240" w:lineRule="auto"/>
        <w:ind w:firstLine="708"/>
        <w:jc w:val="both"/>
        <w:rPr>
          <w:rFonts w:cstheme="minorHAnsi"/>
          <w:sz w:val="24"/>
          <w:szCs w:val="24"/>
          <w:lang w:val="en-US"/>
        </w:rPr>
      </w:pPr>
      <w:r w:rsidRPr="00B25856">
        <w:rPr>
          <w:rFonts w:cstheme="minorHAnsi"/>
          <w:sz w:val="24"/>
          <w:szCs w:val="24"/>
          <w:lang w:val="en-US"/>
        </w:rPr>
        <w:t>Azerbaijan is one of the countries with limited water resources. The total water resources of the country are 35.3 km</w:t>
      </w:r>
      <w:r w:rsidRPr="00B25856">
        <w:rPr>
          <w:rFonts w:cstheme="minorHAnsi"/>
          <w:sz w:val="24"/>
          <w:szCs w:val="24"/>
          <w:vertAlign w:val="superscript"/>
          <w:lang w:val="en-US"/>
        </w:rPr>
        <w:t>3</w:t>
      </w:r>
      <w:r w:rsidRPr="00B25856">
        <w:rPr>
          <w:rFonts w:cstheme="minorHAnsi"/>
          <w:sz w:val="24"/>
          <w:szCs w:val="24"/>
          <w:lang w:val="en-US"/>
        </w:rPr>
        <w:t>, of which only 4.4 km</w:t>
      </w:r>
      <w:r w:rsidRPr="00B25856">
        <w:rPr>
          <w:rFonts w:cstheme="minorHAnsi"/>
          <w:sz w:val="24"/>
          <w:szCs w:val="24"/>
          <w:vertAlign w:val="superscript"/>
          <w:lang w:val="en-US"/>
        </w:rPr>
        <w:t>3</w:t>
      </w:r>
      <w:r w:rsidRPr="00B25856">
        <w:rPr>
          <w:rFonts w:cstheme="minorHAnsi"/>
          <w:sz w:val="24"/>
          <w:szCs w:val="24"/>
          <w:lang w:val="en-US"/>
        </w:rPr>
        <w:t xml:space="preserve"> (12.5%) falls on the share of groundwater.</w:t>
      </w:r>
      <w:r w:rsidR="00845920" w:rsidRPr="00B25856">
        <w:rPr>
          <w:rFonts w:cstheme="minorHAnsi"/>
          <w:sz w:val="24"/>
          <w:szCs w:val="24"/>
          <w:lang w:val="en-US"/>
        </w:rPr>
        <w:t xml:space="preserve"> </w:t>
      </w:r>
      <w:r w:rsidRPr="00B25856">
        <w:rPr>
          <w:rFonts w:cstheme="minorHAnsi"/>
          <w:sz w:val="24"/>
          <w:szCs w:val="24"/>
          <w:lang w:val="en-US"/>
        </w:rPr>
        <w:t>In recent years, to meet the needs of various sectors of the economy, an average of about 12.6 km</w:t>
      </w:r>
      <w:r w:rsidRPr="00B25856">
        <w:rPr>
          <w:rFonts w:cstheme="minorHAnsi"/>
          <w:sz w:val="24"/>
          <w:szCs w:val="24"/>
          <w:vertAlign w:val="superscript"/>
          <w:lang w:val="en-US"/>
        </w:rPr>
        <w:t>3</w:t>
      </w:r>
      <w:r w:rsidRPr="00B25856">
        <w:rPr>
          <w:rFonts w:cstheme="minorHAnsi"/>
          <w:sz w:val="24"/>
          <w:szCs w:val="24"/>
          <w:lang w:val="en-US"/>
        </w:rPr>
        <w:t xml:space="preserve"> of water has been taken from natural sources, of which 18.8% is groundwater.</w:t>
      </w:r>
    </w:p>
    <w:p w14:paraId="2CF26535" w14:textId="77777777" w:rsidR="00A71FDC" w:rsidRPr="00B25856" w:rsidRDefault="00A71FDC" w:rsidP="00A71FDC">
      <w:pPr>
        <w:spacing w:after="0" w:line="240" w:lineRule="auto"/>
        <w:ind w:firstLine="708"/>
        <w:jc w:val="both"/>
        <w:rPr>
          <w:rFonts w:cstheme="minorHAnsi"/>
          <w:sz w:val="24"/>
          <w:szCs w:val="24"/>
          <w:lang w:val="en-US"/>
        </w:rPr>
      </w:pPr>
      <w:r w:rsidRPr="00B25856">
        <w:rPr>
          <w:rFonts w:cstheme="minorHAnsi"/>
          <w:sz w:val="24"/>
          <w:szCs w:val="24"/>
          <w:lang w:val="en-US"/>
        </w:rPr>
        <w:t>There are 18 groundwater basins in Azerbaijan, of which 14 are transboundary. Azerbaijan shares these transboundary basins with Russia, Georgia, Armenia and Iran.</w:t>
      </w:r>
    </w:p>
    <w:p w14:paraId="6A2165E9" w14:textId="3283562F" w:rsidR="007E3107" w:rsidRPr="00B25856" w:rsidRDefault="007E3107" w:rsidP="00A71FDC">
      <w:pPr>
        <w:spacing w:after="0" w:line="240" w:lineRule="auto"/>
        <w:jc w:val="both"/>
        <w:rPr>
          <w:rFonts w:cstheme="minorHAnsi"/>
          <w:sz w:val="24"/>
          <w:szCs w:val="24"/>
          <w:lang w:val="en-US"/>
        </w:rPr>
      </w:pPr>
      <w:r w:rsidRPr="00B25856">
        <w:rPr>
          <w:rFonts w:cstheme="minorHAnsi"/>
          <w:sz w:val="24"/>
          <w:szCs w:val="24"/>
          <w:lang w:val="en-US"/>
        </w:rPr>
        <w:t xml:space="preserve">Azerbaijan builds its relations with the </w:t>
      </w:r>
      <w:r w:rsidR="00B25856" w:rsidRPr="00B25856">
        <w:rPr>
          <w:rFonts w:cstheme="minorHAnsi"/>
          <w:sz w:val="24"/>
          <w:szCs w:val="24"/>
          <w:lang w:val="en-US"/>
        </w:rPr>
        <w:t>neighboring</w:t>
      </w:r>
      <w:r w:rsidRPr="00B25856">
        <w:rPr>
          <w:rFonts w:cstheme="minorHAnsi"/>
          <w:sz w:val="24"/>
          <w:szCs w:val="24"/>
          <w:lang w:val="en-US"/>
        </w:rPr>
        <w:t xml:space="preserve"> countries on the basis of through bilateral contracts in line with international judicial principles and all issues are settled respecting such principles accordingly. </w:t>
      </w:r>
    </w:p>
    <w:p w14:paraId="1E4F9CAC" w14:textId="77777777" w:rsidR="00A71FDC" w:rsidRPr="00B25856" w:rsidRDefault="00A71FDC" w:rsidP="00A71FDC">
      <w:pPr>
        <w:spacing w:after="0" w:line="240" w:lineRule="auto"/>
        <w:ind w:firstLine="708"/>
        <w:jc w:val="both"/>
        <w:rPr>
          <w:rFonts w:cstheme="minorHAnsi"/>
          <w:sz w:val="24"/>
          <w:szCs w:val="24"/>
          <w:lang w:val="en-US"/>
        </w:rPr>
      </w:pPr>
      <w:r w:rsidRPr="00B25856">
        <w:rPr>
          <w:rFonts w:cstheme="minorHAnsi"/>
          <w:sz w:val="24"/>
          <w:szCs w:val="24"/>
          <w:lang w:val="en-US"/>
        </w:rPr>
        <w:t>According to</w:t>
      </w:r>
      <w:r w:rsidR="00E62B9D" w:rsidRPr="00B25856">
        <w:rPr>
          <w:rFonts w:cstheme="minorHAnsi"/>
          <w:sz w:val="24"/>
          <w:szCs w:val="24"/>
          <w:lang w:val="en-US"/>
        </w:rPr>
        <w:t xml:space="preserve"> </w:t>
      </w:r>
      <w:r w:rsidRPr="00B25856">
        <w:rPr>
          <w:rFonts w:cstheme="minorHAnsi"/>
          <w:sz w:val="24"/>
          <w:szCs w:val="24"/>
          <w:lang w:val="en-US"/>
        </w:rPr>
        <w:t>t</w:t>
      </w:r>
      <w:r w:rsidR="007E3107" w:rsidRPr="00B25856">
        <w:rPr>
          <w:rFonts w:cstheme="minorHAnsi"/>
          <w:sz w:val="24"/>
          <w:szCs w:val="24"/>
          <w:lang w:val="en-US"/>
        </w:rPr>
        <w:t xml:space="preserve">he </w:t>
      </w:r>
      <w:r w:rsidR="007E3107" w:rsidRPr="00B25856">
        <w:rPr>
          <w:rFonts w:eastAsia="Times New Roman" w:cstheme="minorHAnsi"/>
          <w:sz w:val="24"/>
          <w:szCs w:val="24"/>
          <w:lang w:val="en-US"/>
        </w:rPr>
        <w:t>UNDP GEF Kura II Project: </w:t>
      </w:r>
      <w:r w:rsidR="007E3107" w:rsidRPr="00B25856">
        <w:rPr>
          <w:rFonts w:eastAsia="Times New Roman" w:cstheme="minorHAnsi"/>
          <w:iCs/>
          <w:sz w:val="24"/>
          <w:szCs w:val="24"/>
          <w:lang w:val="en-US"/>
        </w:rPr>
        <w:t xml:space="preserve">Advancing Integrated Water Resource Management across the </w:t>
      </w:r>
      <w:proofErr w:type="gramStart"/>
      <w:r w:rsidR="007E3107" w:rsidRPr="00B25856">
        <w:rPr>
          <w:rFonts w:eastAsia="Times New Roman" w:cstheme="minorHAnsi"/>
          <w:iCs/>
          <w:sz w:val="24"/>
          <w:szCs w:val="24"/>
          <w:lang w:val="en-US"/>
        </w:rPr>
        <w:t>Kura river</w:t>
      </w:r>
      <w:proofErr w:type="gramEnd"/>
      <w:r w:rsidR="007E3107" w:rsidRPr="00B25856">
        <w:rPr>
          <w:rFonts w:eastAsia="Times New Roman" w:cstheme="minorHAnsi"/>
          <w:iCs/>
          <w:sz w:val="24"/>
          <w:szCs w:val="24"/>
          <w:lang w:val="en-US"/>
        </w:rPr>
        <w:t xml:space="preserve"> basin through implementation of the transboundary agreed actions and national plans </w:t>
      </w:r>
      <w:r w:rsidR="007E3107" w:rsidRPr="00B25856">
        <w:rPr>
          <w:rFonts w:cstheme="minorHAnsi"/>
          <w:sz w:val="24"/>
          <w:szCs w:val="24"/>
          <w:lang w:val="en-US"/>
        </w:rPr>
        <w:t>to be implemented in Azerbaijan and Georgia</w:t>
      </w:r>
      <w:r w:rsidR="00E62B9D" w:rsidRPr="00B25856">
        <w:rPr>
          <w:rFonts w:cstheme="minorHAnsi"/>
          <w:sz w:val="24"/>
          <w:szCs w:val="24"/>
          <w:lang w:val="en-US"/>
        </w:rPr>
        <w:t>,</w:t>
      </w:r>
      <w:r w:rsidRPr="00B25856">
        <w:rPr>
          <w:rFonts w:cstheme="minorHAnsi"/>
          <w:lang w:val="en-US"/>
        </w:rPr>
        <w:t xml:space="preserve"> </w:t>
      </w:r>
      <w:r w:rsidRPr="00B25856">
        <w:rPr>
          <w:rFonts w:cstheme="minorHAnsi"/>
          <w:sz w:val="24"/>
          <w:szCs w:val="24"/>
          <w:lang w:val="en-US"/>
        </w:rPr>
        <w:t>in a transboundary groundwater basin located on the territory of Azerbaijan and Georgia, parallel monitoring will be organized, followed by the exchange of information.</w:t>
      </w:r>
      <w:r w:rsidR="007E3107" w:rsidRPr="00B25856">
        <w:rPr>
          <w:rFonts w:cstheme="minorHAnsi"/>
          <w:sz w:val="24"/>
          <w:szCs w:val="24"/>
          <w:lang w:val="en-US"/>
        </w:rPr>
        <w:t xml:space="preserve"> </w:t>
      </w:r>
    </w:p>
    <w:p w14:paraId="6F3A4414" w14:textId="77777777" w:rsidR="006B1B6C" w:rsidRPr="00B25856" w:rsidRDefault="00D43E6C" w:rsidP="00A71FDC">
      <w:pPr>
        <w:spacing w:after="0" w:line="240" w:lineRule="auto"/>
        <w:ind w:firstLine="708"/>
        <w:jc w:val="both"/>
        <w:rPr>
          <w:rFonts w:cstheme="minorHAnsi"/>
          <w:color w:val="7030A0"/>
          <w:sz w:val="24"/>
          <w:szCs w:val="24"/>
          <w:lang w:val="en-US"/>
        </w:rPr>
      </w:pPr>
      <w:r w:rsidRPr="00B25856">
        <w:rPr>
          <w:rFonts w:cstheme="minorHAnsi"/>
          <w:bCs/>
          <w:sz w:val="24"/>
          <w:szCs w:val="24"/>
          <w:lang w:val="en-US"/>
        </w:rPr>
        <w:t>European Union Water Initiative Plus for the Eastern Partnership Countries</w:t>
      </w:r>
      <w:r w:rsidR="006B1B6C" w:rsidRPr="00B25856">
        <w:rPr>
          <w:rFonts w:cstheme="minorHAnsi"/>
          <w:sz w:val="24"/>
          <w:szCs w:val="24"/>
          <w:lang w:val="en-US"/>
        </w:rPr>
        <w:t xml:space="preserve"> </w:t>
      </w:r>
      <w:r w:rsidR="00A71FDC" w:rsidRPr="00B25856">
        <w:rPr>
          <w:rFonts w:cstheme="minorHAnsi"/>
          <w:sz w:val="24"/>
          <w:szCs w:val="24"/>
          <w:lang w:val="en-US"/>
        </w:rPr>
        <w:t>implemented the project</w:t>
      </w:r>
      <w:r w:rsidR="006B1B6C" w:rsidRPr="00B25856">
        <w:rPr>
          <w:rFonts w:cstheme="minorHAnsi"/>
          <w:sz w:val="24"/>
          <w:szCs w:val="24"/>
          <w:lang w:val="en-US"/>
        </w:rPr>
        <w:t xml:space="preserve"> “Support in the delineation and characterization of groundwater bodies and the design of a groundwater monitoring network in the Kura upper Mingachevir water reservoir River Basin District in Azerbaijan”.</w:t>
      </w:r>
    </w:p>
    <w:p w14:paraId="2952AC0D" w14:textId="77777777" w:rsidR="00C112EB" w:rsidRPr="00B25856" w:rsidRDefault="006B1B6C" w:rsidP="00A71FDC">
      <w:pPr>
        <w:spacing w:after="0" w:line="240" w:lineRule="auto"/>
        <w:jc w:val="both"/>
        <w:rPr>
          <w:rFonts w:cstheme="minorHAnsi"/>
          <w:bCs/>
          <w:color w:val="000000"/>
          <w:sz w:val="24"/>
          <w:szCs w:val="24"/>
          <w:lang w:val="en-GB"/>
        </w:rPr>
      </w:pPr>
      <w:r w:rsidRPr="00B25856">
        <w:rPr>
          <w:rFonts w:cstheme="minorHAnsi"/>
          <w:bCs/>
          <w:color w:val="000000"/>
          <w:sz w:val="24"/>
          <w:szCs w:val="24"/>
          <w:lang w:val="en-US"/>
        </w:rPr>
        <w:t xml:space="preserve">   </w:t>
      </w:r>
      <w:r w:rsidR="00A71FDC" w:rsidRPr="00B25856">
        <w:rPr>
          <w:rFonts w:cstheme="minorHAnsi"/>
          <w:bCs/>
          <w:color w:val="000000"/>
          <w:sz w:val="24"/>
          <w:szCs w:val="24"/>
          <w:lang w:val="en-US"/>
        </w:rPr>
        <w:tab/>
      </w:r>
      <w:r w:rsidR="00C112EB" w:rsidRPr="00B25856">
        <w:rPr>
          <w:rFonts w:cstheme="minorHAnsi"/>
          <w:bCs/>
          <w:color w:val="000000"/>
          <w:sz w:val="24"/>
          <w:szCs w:val="24"/>
          <w:lang w:val="en-GB"/>
        </w:rPr>
        <w:t>The approach used for delineation of groundwater bodies in the river basins is based on the EU Water Framework Directive and its guidelines.</w:t>
      </w:r>
      <w:r w:rsidR="00C112EB" w:rsidRPr="00B25856">
        <w:rPr>
          <w:rFonts w:eastAsia="Times New Roman" w:cstheme="minorHAnsi"/>
          <w:color w:val="0D0D0D" w:themeColor="text1" w:themeTint="F2"/>
          <w:sz w:val="24"/>
          <w:szCs w:val="24"/>
          <w:lang w:val="en-GB" w:eastAsia="de-DE" w:bidi="fr-FR"/>
        </w:rPr>
        <w:t xml:space="preserve"> </w:t>
      </w:r>
      <w:r w:rsidR="00C112EB" w:rsidRPr="00B25856">
        <w:rPr>
          <w:rFonts w:cstheme="minorHAnsi"/>
          <w:bCs/>
          <w:color w:val="000000"/>
          <w:sz w:val="24"/>
          <w:szCs w:val="24"/>
          <w:lang w:val="en-GB"/>
        </w:rPr>
        <w:t>The delineation of bodies of groundwater must ensure that the relevant objectives of the Directive can be achieved. This does not mean that a body of groundwater must be delineated so that it is homogeneous in terms of its natural characteristics, or the concentrations of pollutants or level alterations within it. However, bodies should be delineated in a way that enables an appropriate description of the quantitative and chemical status of groundwater.</w:t>
      </w:r>
      <w:r w:rsidR="00A71FDC" w:rsidRPr="00B25856">
        <w:rPr>
          <w:rFonts w:cstheme="minorHAnsi"/>
          <w:bCs/>
          <w:color w:val="000000"/>
          <w:sz w:val="24"/>
          <w:szCs w:val="24"/>
          <w:lang w:val="en-GB"/>
        </w:rPr>
        <w:t xml:space="preserve"> </w:t>
      </w:r>
      <w:r w:rsidR="00D43E6C" w:rsidRPr="00B25856">
        <w:rPr>
          <w:rFonts w:cstheme="minorHAnsi"/>
          <w:color w:val="0D0D0D" w:themeColor="text1" w:themeTint="F2"/>
          <w:sz w:val="24"/>
          <w:szCs w:val="24"/>
          <w:lang w:val="en-GB" w:bidi="fr-FR"/>
        </w:rPr>
        <w:t xml:space="preserve">8 </w:t>
      </w:r>
      <w:r w:rsidR="00C112EB" w:rsidRPr="00B25856">
        <w:rPr>
          <w:rFonts w:cstheme="minorHAnsi"/>
          <w:color w:val="0D0D0D" w:themeColor="text1" w:themeTint="F2"/>
          <w:sz w:val="24"/>
          <w:szCs w:val="24"/>
          <w:lang w:val="en-GB" w:bidi="fr-FR"/>
        </w:rPr>
        <w:t xml:space="preserve">main hydrogeological units (aquifers) in Kura River basin upper Mingachevir Reservoir Dam Pilot Area have been </w:t>
      </w:r>
      <w:r w:rsidR="00A71FDC" w:rsidRPr="00B25856">
        <w:rPr>
          <w:rFonts w:cstheme="minorHAnsi"/>
          <w:sz w:val="24"/>
          <w:szCs w:val="24"/>
          <w:lang w:val="en-GB" w:bidi="fr-FR"/>
        </w:rPr>
        <w:t>analysed</w:t>
      </w:r>
      <w:r w:rsidR="00C112EB" w:rsidRPr="00B25856">
        <w:rPr>
          <w:rFonts w:cstheme="minorHAnsi"/>
          <w:color w:val="0D0D0D" w:themeColor="text1" w:themeTint="F2"/>
          <w:sz w:val="24"/>
          <w:szCs w:val="24"/>
          <w:lang w:val="en-GB" w:bidi="fr-FR"/>
        </w:rPr>
        <w:t xml:space="preserve"> f</w:t>
      </w:r>
      <w:r w:rsidR="00D43E6C" w:rsidRPr="00B25856">
        <w:rPr>
          <w:rFonts w:cstheme="minorHAnsi"/>
          <w:color w:val="0D0D0D" w:themeColor="text1" w:themeTint="F2"/>
          <w:sz w:val="24"/>
          <w:szCs w:val="24"/>
          <w:lang w:val="en-GB" w:bidi="fr-FR"/>
        </w:rPr>
        <w:t>or groundwater body delineation.</w:t>
      </w:r>
    </w:p>
    <w:p w14:paraId="639F4111" w14:textId="77777777" w:rsidR="00EF2E88" w:rsidRPr="00B25856" w:rsidRDefault="006E2991" w:rsidP="00E54BC6">
      <w:pPr>
        <w:spacing w:after="0" w:line="240" w:lineRule="auto"/>
        <w:ind w:firstLine="709"/>
        <w:jc w:val="both"/>
        <w:rPr>
          <w:rFonts w:cstheme="minorHAnsi"/>
          <w:color w:val="0D0D0D"/>
          <w:sz w:val="24"/>
          <w:szCs w:val="24"/>
          <w:lang w:val="en-GB" w:bidi="fr-FR"/>
        </w:rPr>
      </w:pPr>
      <w:r w:rsidRPr="00B25856">
        <w:rPr>
          <w:rFonts w:cstheme="minorHAnsi"/>
          <w:color w:val="0D0D0D"/>
          <w:sz w:val="24"/>
          <w:szCs w:val="24"/>
          <w:lang w:val="en-GB" w:bidi="fr-FR"/>
        </w:rPr>
        <w:t xml:space="preserve">These aquifers have been analysed, their </w:t>
      </w:r>
      <w:proofErr w:type="spellStart"/>
      <w:r w:rsidRPr="00B25856">
        <w:rPr>
          <w:rFonts w:cstheme="minorHAnsi"/>
          <w:color w:val="0D0D0D"/>
          <w:sz w:val="24"/>
          <w:szCs w:val="24"/>
          <w:lang w:val="en-GB" w:bidi="fr-FR"/>
        </w:rPr>
        <w:t>hydrochemical</w:t>
      </w:r>
      <w:proofErr w:type="spellEnd"/>
      <w:r w:rsidRPr="00B25856">
        <w:rPr>
          <w:rFonts w:cstheme="minorHAnsi"/>
          <w:color w:val="0D0D0D"/>
          <w:sz w:val="24"/>
          <w:szCs w:val="24"/>
          <w:lang w:val="en-GB" w:bidi="fr-FR"/>
        </w:rPr>
        <w:t xml:space="preserve"> and hydrodynamic characteristics compared, and certain smaller aquifers have been grouped so as to avoid unmanageable subdivision. As a result, bodies of groundwater have been preliminarily identified.</w:t>
      </w:r>
      <w:r w:rsidRPr="00B25856">
        <w:rPr>
          <w:rFonts w:eastAsia="Times New Roman" w:cstheme="minorHAnsi"/>
          <w:color w:val="0D0D0D" w:themeColor="text1" w:themeTint="F2"/>
          <w:lang w:val="en-GB" w:eastAsia="de-DE" w:bidi="fr-FR"/>
        </w:rPr>
        <w:t xml:space="preserve"> </w:t>
      </w:r>
      <w:r w:rsidRPr="00B25856">
        <w:rPr>
          <w:rFonts w:cstheme="minorHAnsi"/>
          <w:color w:val="0D0D0D"/>
          <w:sz w:val="24"/>
          <w:szCs w:val="24"/>
          <w:lang w:val="en-GB" w:bidi="fr-FR"/>
        </w:rPr>
        <w:t>pressures are identical for almost all of shallow ground waters in Kura Upstream of Mingachevir Reservoir pilot basin in areas impacte</w:t>
      </w:r>
      <w:r w:rsidR="00D43E6C" w:rsidRPr="00B25856">
        <w:rPr>
          <w:rFonts w:cstheme="minorHAnsi"/>
          <w:color w:val="0D0D0D"/>
          <w:sz w:val="24"/>
          <w:szCs w:val="24"/>
          <w:lang w:val="en-GB" w:bidi="fr-FR"/>
        </w:rPr>
        <w:t>d by population and agriculture.</w:t>
      </w:r>
    </w:p>
    <w:p w14:paraId="6F901AEA" w14:textId="77777777" w:rsidR="00E54BC6" w:rsidRPr="00B25856" w:rsidRDefault="00E54BC6" w:rsidP="00E54BC6">
      <w:pPr>
        <w:spacing w:after="0" w:line="240" w:lineRule="auto"/>
        <w:ind w:firstLine="709"/>
        <w:jc w:val="both"/>
        <w:rPr>
          <w:rFonts w:cstheme="minorHAnsi"/>
          <w:color w:val="0D0D0D"/>
          <w:sz w:val="24"/>
          <w:szCs w:val="24"/>
          <w:lang w:val="en-GB" w:bidi="fr-FR"/>
        </w:rPr>
      </w:pPr>
    </w:p>
    <w:p w14:paraId="066578E0" w14:textId="14F77A14" w:rsidR="00E54BC6" w:rsidRPr="00B25856" w:rsidRDefault="006A58C8" w:rsidP="00E54BC6">
      <w:pPr>
        <w:spacing w:after="0" w:line="240" w:lineRule="auto"/>
        <w:ind w:firstLine="709"/>
        <w:jc w:val="both"/>
        <w:rPr>
          <w:rFonts w:cstheme="minorHAnsi"/>
          <w:color w:val="0D0D0D"/>
          <w:sz w:val="24"/>
          <w:szCs w:val="24"/>
          <w:lang w:val="az-Latn-AZ" w:bidi="fr-FR"/>
        </w:rPr>
      </w:pPr>
      <w:r w:rsidRPr="00B25856">
        <w:rPr>
          <w:rFonts w:cstheme="minorHAnsi"/>
          <w:b/>
          <w:bCs/>
          <w:color w:val="0D0D0D"/>
          <w:sz w:val="24"/>
          <w:szCs w:val="24"/>
          <w:lang w:val="en-GB" w:bidi="fr-FR"/>
        </w:rPr>
        <w:t>Key words</w:t>
      </w:r>
      <w:r w:rsidRPr="00B25856">
        <w:rPr>
          <w:rFonts w:cstheme="minorHAnsi"/>
          <w:b/>
          <w:bCs/>
          <w:color w:val="0D0D0D"/>
          <w:sz w:val="24"/>
          <w:szCs w:val="24"/>
          <w:lang w:val="az-Latn-AZ" w:bidi="fr-FR"/>
        </w:rPr>
        <w:t>:</w:t>
      </w:r>
      <w:r w:rsidRPr="00B25856">
        <w:rPr>
          <w:rFonts w:cstheme="minorHAnsi"/>
          <w:sz w:val="24"/>
          <w:szCs w:val="24"/>
          <w:lang w:val="en-US"/>
        </w:rPr>
        <w:t xml:space="preserve"> </w:t>
      </w:r>
      <w:r w:rsidRPr="00B25856">
        <w:rPr>
          <w:rFonts w:cstheme="minorHAnsi"/>
          <w:color w:val="0D0D0D"/>
          <w:sz w:val="24"/>
          <w:szCs w:val="24"/>
          <w:lang w:val="en-US" w:bidi="fr-FR"/>
        </w:rPr>
        <w:t xml:space="preserve">groundwater basins, </w:t>
      </w:r>
      <w:r w:rsidRPr="00B25856">
        <w:rPr>
          <w:rFonts w:cstheme="minorHAnsi"/>
          <w:color w:val="0D0D0D"/>
          <w:sz w:val="24"/>
          <w:szCs w:val="24"/>
          <w:lang w:val="en-GB" w:bidi="fr-FR"/>
        </w:rPr>
        <w:t xml:space="preserve">delineation of groundwater bodies, </w:t>
      </w:r>
      <w:r w:rsidRPr="00B25856">
        <w:rPr>
          <w:rFonts w:cstheme="minorHAnsi"/>
          <w:bCs/>
          <w:color w:val="0D0D0D"/>
          <w:sz w:val="24"/>
          <w:szCs w:val="24"/>
          <w:lang w:val="en-GB" w:bidi="fr-FR"/>
        </w:rPr>
        <w:t>status of groundwater.</w:t>
      </w:r>
    </w:p>
    <w:p w14:paraId="7DDAD235" w14:textId="77777777" w:rsidR="00E54BC6" w:rsidRPr="00B25856" w:rsidRDefault="00E54BC6" w:rsidP="00E54BC6">
      <w:pPr>
        <w:spacing w:after="0" w:line="240" w:lineRule="auto"/>
        <w:ind w:firstLine="709"/>
        <w:jc w:val="both"/>
        <w:rPr>
          <w:rFonts w:cstheme="minorHAnsi"/>
          <w:color w:val="0D0D0D"/>
          <w:sz w:val="24"/>
          <w:szCs w:val="24"/>
          <w:lang w:val="en-GB" w:bidi="fr-FR"/>
        </w:rPr>
      </w:pPr>
    </w:p>
    <w:sectPr w:rsidR="00E54BC6" w:rsidRPr="00B25856" w:rsidSect="00E54BC6">
      <w:pgSz w:w="11900" w:h="16840"/>
      <w:pgMar w:top="1134" w:right="1134" w:bottom="1134" w:left="1701" w:header="709" w:footer="9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25BEA"/>
    <w:multiLevelType w:val="hybridMultilevel"/>
    <w:tmpl w:val="C59A257C"/>
    <w:lvl w:ilvl="0" w:tplc="0E8203C6">
      <w:start w:val="1"/>
      <w:numFmt w:val="bullet"/>
      <w:lvlText w:val=""/>
      <w:lvlJc w:val="left"/>
      <w:pPr>
        <w:ind w:left="1080" w:hanging="360"/>
      </w:pPr>
      <w:rPr>
        <w:rFonts w:ascii="Symbol" w:hAnsi="Symbol" w:hint="default"/>
      </w:rPr>
    </w:lvl>
    <w:lvl w:ilvl="1" w:tplc="13E8E9A0" w:tentative="1">
      <w:start w:val="1"/>
      <w:numFmt w:val="bullet"/>
      <w:lvlText w:val="o"/>
      <w:lvlJc w:val="left"/>
      <w:pPr>
        <w:ind w:left="1800" w:hanging="360"/>
      </w:pPr>
      <w:rPr>
        <w:rFonts w:ascii="Courier New" w:hAnsi="Courier New" w:cs="Courier New" w:hint="default"/>
      </w:rPr>
    </w:lvl>
    <w:lvl w:ilvl="2" w:tplc="356498F8" w:tentative="1">
      <w:start w:val="1"/>
      <w:numFmt w:val="bullet"/>
      <w:lvlText w:val=""/>
      <w:lvlJc w:val="left"/>
      <w:pPr>
        <w:ind w:left="2520" w:hanging="360"/>
      </w:pPr>
      <w:rPr>
        <w:rFonts w:ascii="Wingdings" w:hAnsi="Wingdings" w:hint="default"/>
      </w:rPr>
    </w:lvl>
    <w:lvl w:ilvl="3" w:tplc="D24E8884" w:tentative="1">
      <w:start w:val="1"/>
      <w:numFmt w:val="bullet"/>
      <w:lvlText w:val=""/>
      <w:lvlJc w:val="left"/>
      <w:pPr>
        <w:ind w:left="3240" w:hanging="360"/>
      </w:pPr>
      <w:rPr>
        <w:rFonts w:ascii="Symbol" w:hAnsi="Symbol" w:hint="default"/>
      </w:rPr>
    </w:lvl>
    <w:lvl w:ilvl="4" w:tplc="9080F0F4" w:tentative="1">
      <w:start w:val="1"/>
      <w:numFmt w:val="bullet"/>
      <w:lvlText w:val="o"/>
      <w:lvlJc w:val="left"/>
      <w:pPr>
        <w:ind w:left="3960" w:hanging="360"/>
      </w:pPr>
      <w:rPr>
        <w:rFonts w:ascii="Courier New" w:hAnsi="Courier New" w:cs="Courier New" w:hint="default"/>
      </w:rPr>
    </w:lvl>
    <w:lvl w:ilvl="5" w:tplc="6D76E7B4" w:tentative="1">
      <w:start w:val="1"/>
      <w:numFmt w:val="bullet"/>
      <w:lvlText w:val=""/>
      <w:lvlJc w:val="left"/>
      <w:pPr>
        <w:ind w:left="4680" w:hanging="360"/>
      </w:pPr>
      <w:rPr>
        <w:rFonts w:ascii="Wingdings" w:hAnsi="Wingdings" w:hint="default"/>
      </w:rPr>
    </w:lvl>
    <w:lvl w:ilvl="6" w:tplc="84B22B64" w:tentative="1">
      <w:start w:val="1"/>
      <w:numFmt w:val="bullet"/>
      <w:lvlText w:val=""/>
      <w:lvlJc w:val="left"/>
      <w:pPr>
        <w:ind w:left="5400" w:hanging="360"/>
      </w:pPr>
      <w:rPr>
        <w:rFonts w:ascii="Symbol" w:hAnsi="Symbol" w:hint="default"/>
      </w:rPr>
    </w:lvl>
    <w:lvl w:ilvl="7" w:tplc="03960162" w:tentative="1">
      <w:start w:val="1"/>
      <w:numFmt w:val="bullet"/>
      <w:lvlText w:val="o"/>
      <w:lvlJc w:val="left"/>
      <w:pPr>
        <w:ind w:left="6120" w:hanging="360"/>
      </w:pPr>
      <w:rPr>
        <w:rFonts w:ascii="Courier New" w:hAnsi="Courier New" w:cs="Courier New" w:hint="default"/>
      </w:rPr>
    </w:lvl>
    <w:lvl w:ilvl="8" w:tplc="598E189C" w:tentative="1">
      <w:start w:val="1"/>
      <w:numFmt w:val="bullet"/>
      <w:lvlText w:val=""/>
      <w:lvlJc w:val="left"/>
      <w:pPr>
        <w:ind w:left="6840" w:hanging="360"/>
      </w:pPr>
      <w:rPr>
        <w:rFonts w:ascii="Wingdings" w:hAnsi="Wingdings" w:hint="default"/>
      </w:rPr>
    </w:lvl>
  </w:abstractNum>
  <w:abstractNum w:abstractNumId="1" w15:restartNumberingAfterBreak="0">
    <w:nsid w:val="73E31C6B"/>
    <w:multiLevelType w:val="hybridMultilevel"/>
    <w:tmpl w:val="693232A8"/>
    <w:lvl w:ilvl="0" w:tplc="0419000F">
      <w:start w:val="1"/>
      <w:numFmt w:val="decimal"/>
      <w:lvlText w:val="%1."/>
      <w:lvlJc w:val="left"/>
      <w:pPr>
        <w:ind w:left="686" w:hanging="284"/>
      </w:pPr>
      <w:rPr>
        <w:rFonts w:ascii="Calibri" w:eastAsia="Calibri" w:hAnsi="Calibri" w:cs="Calibri" w:hint="default"/>
        <w:w w:val="99"/>
        <w:sz w:val="22"/>
        <w:szCs w:val="22"/>
        <w:lang w:val="en-US" w:eastAsia="en-US" w:bidi="en-US"/>
      </w:rPr>
    </w:lvl>
    <w:lvl w:ilvl="1" w:tplc="04190019">
      <w:numFmt w:val="bullet"/>
      <w:lvlText w:val="•"/>
      <w:lvlJc w:val="left"/>
      <w:pPr>
        <w:ind w:left="1596" w:hanging="284"/>
      </w:pPr>
      <w:rPr>
        <w:rFonts w:hint="default"/>
        <w:lang w:val="en-US" w:eastAsia="en-US" w:bidi="en-US"/>
      </w:rPr>
    </w:lvl>
    <w:lvl w:ilvl="2" w:tplc="0419001B">
      <w:numFmt w:val="bullet"/>
      <w:lvlText w:val="•"/>
      <w:lvlJc w:val="left"/>
      <w:pPr>
        <w:ind w:left="2512" w:hanging="284"/>
      </w:pPr>
      <w:rPr>
        <w:rFonts w:hint="default"/>
        <w:lang w:val="en-US" w:eastAsia="en-US" w:bidi="en-US"/>
      </w:rPr>
    </w:lvl>
    <w:lvl w:ilvl="3" w:tplc="0419000F">
      <w:numFmt w:val="bullet"/>
      <w:lvlText w:val="•"/>
      <w:lvlJc w:val="left"/>
      <w:pPr>
        <w:ind w:left="3429" w:hanging="284"/>
      </w:pPr>
      <w:rPr>
        <w:rFonts w:hint="default"/>
        <w:lang w:val="en-US" w:eastAsia="en-US" w:bidi="en-US"/>
      </w:rPr>
    </w:lvl>
    <w:lvl w:ilvl="4" w:tplc="04190019">
      <w:numFmt w:val="bullet"/>
      <w:lvlText w:val="•"/>
      <w:lvlJc w:val="left"/>
      <w:pPr>
        <w:ind w:left="4345" w:hanging="284"/>
      </w:pPr>
      <w:rPr>
        <w:rFonts w:hint="default"/>
        <w:lang w:val="en-US" w:eastAsia="en-US" w:bidi="en-US"/>
      </w:rPr>
    </w:lvl>
    <w:lvl w:ilvl="5" w:tplc="0419001B">
      <w:numFmt w:val="bullet"/>
      <w:lvlText w:val="•"/>
      <w:lvlJc w:val="left"/>
      <w:pPr>
        <w:ind w:left="5262" w:hanging="284"/>
      </w:pPr>
      <w:rPr>
        <w:rFonts w:hint="default"/>
        <w:lang w:val="en-US" w:eastAsia="en-US" w:bidi="en-US"/>
      </w:rPr>
    </w:lvl>
    <w:lvl w:ilvl="6" w:tplc="0419000F">
      <w:numFmt w:val="bullet"/>
      <w:lvlText w:val="•"/>
      <w:lvlJc w:val="left"/>
      <w:pPr>
        <w:ind w:left="6178" w:hanging="284"/>
      </w:pPr>
      <w:rPr>
        <w:rFonts w:hint="default"/>
        <w:lang w:val="en-US" w:eastAsia="en-US" w:bidi="en-US"/>
      </w:rPr>
    </w:lvl>
    <w:lvl w:ilvl="7" w:tplc="04190019">
      <w:numFmt w:val="bullet"/>
      <w:lvlText w:val="•"/>
      <w:lvlJc w:val="left"/>
      <w:pPr>
        <w:ind w:left="7095" w:hanging="284"/>
      </w:pPr>
      <w:rPr>
        <w:rFonts w:hint="default"/>
        <w:lang w:val="en-US" w:eastAsia="en-US" w:bidi="en-US"/>
      </w:rPr>
    </w:lvl>
    <w:lvl w:ilvl="8" w:tplc="0419001B">
      <w:numFmt w:val="bullet"/>
      <w:lvlText w:val="•"/>
      <w:lvlJc w:val="left"/>
      <w:pPr>
        <w:ind w:left="8011" w:hanging="284"/>
      </w:pPr>
      <w:rPr>
        <w:rFonts w:hint="default"/>
        <w:lang w:val="en-US" w:eastAsia="en-US" w:bidi="en-US"/>
      </w:rPr>
    </w:lvl>
  </w:abstractNum>
  <w:num w:numId="1" w16cid:durableId="50546939">
    <w:abstractNumId w:val="1"/>
  </w:num>
  <w:num w:numId="2" w16cid:durableId="109389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F5A"/>
    <w:rsid w:val="00111581"/>
    <w:rsid w:val="00255090"/>
    <w:rsid w:val="00284800"/>
    <w:rsid w:val="00372F9B"/>
    <w:rsid w:val="004C5E89"/>
    <w:rsid w:val="00503519"/>
    <w:rsid w:val="005D3F74"/>
    <w:rsid w:val="0060659B"/>
    <w:rsid w:val="006A58C8"/>
    <w:rsid w:val="006B1B6C"/>
    <w:rsid w:val="006C645D"/>
    <w:rsid w:val="006E2991"/>
    <w:rsid w:val="007E3107"/>
    <w:rsid w:val="00845920"/>
    <w:rsid w:val="00A71FDC"/>
    <w:rsid w:val="00A80C09"/>
    <w:rsid w:val="00B25856"/>
    <w:rsid w:val="00C112EB"/>
    <w:rsid w:val="00C3671B"/>
    <w:rsid w:val="00C82748"/>
    <w:rsid w:val="00D03730"/>
    <w:rsid w:val="00D42A1E"/>
    <w:rsid w:val="00D43E6C"/>
    <w:rsid w:val="00D4689A"/>
    <w:rsid w:val="00D63F5A"/>
    <w:rsid w:val="00E54BC6"/>
    <w:rsid w:val="00E62B9D"/>
    <w:rsid w:val="00EF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5F11"/>
  <w15:docId w15:val="{FA651D69-233E-46AC-9290-F457A0F9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2EB"/>
    <w:rPr>
      <w:color w:val="0563C1" w:themeColor="hyperlink"/>
      <w:u w:val="single"/>
    </w:rPr>
  </w:style>
  <w:style w:type="paragraph" w:styleId="ListParagraph">
    <w:name w:val="List Paragraph"/>
    <w:aliases w:val="Text"/>
    <w:basedOn w:val="Normal"/>
    <w:link w:val="ListParagraphChar"/>
    <w:autoRedefine/>
    <w:uiPriority w:val="99"/>
    <w:qFormat/>
    <w:rsid w:val="00C112EB"/>
    <w:pPr>
      <w:spacing w:after="0" w:line="360" w:lineRule="auto"/>
      <w:contextualSpacing/>
      <w:jc w:val="both"/>
    </w:pPr>
    <w:rPr>
      <w:rFonts w:ascii="Arial" w:eastAsia="Times New Roman" w:hAnsi="Arial" w:cs="Times New Roman"/>
      <w:bCs/>
      <w:szCs w:val="24"/>
      <w:lang w:val="en-US" w:eastAsia="de-DE"/>
    </w:rPr>
  </w:style>
  <w:style w:type="character" w:customStyle="1" w:styleId="ListParagraphChar">
    <w:name w:val="List Paragraph Char"/>
    <w:aliases w:val="Text Char"/>
    <w:basedOn w:val="DefaultParagraphFont"/>
    <w:link w:val="ListParagraph"/>
    <w:uiPriority w:val="99"/>
    <w:rsid w:val="00C112EB"/>
    <w:rPr>
      <w:rFonts w:ascii="Arial" w:eastAsia="Times New Roman" w:hAnsi="Arial" w:cs="Times New Roman"/>
      <w:bCs/>
      <w:szCs w:val="24"/>
      <w:lang w:val="en-US" w:eastAsia="de-DE"/>
    </w:rPr>
  </w:style>
  <w:style w:type="character" w:styleId="UnresolvedMention">
    <w:name w:val="Unresolved Mention"/>
    <w:basedOn w:val="DefaultParagraphFont"/>
    <w:uiPriority w:val="99"/>
    <w:semiHidden/>
    <w:unhideWhenUsed/>
    <w:rsid w:val="006C645D"/>
    <w:rPr>
      <w:color w:val="605E5C"/>
      <w:shd w:val="clear" w:color="auto" w:fill="E1DFDD"/>
    </w:rPr>
  </w:style>
  <w:style w:type="paragraph" w:styleId="NormalWeb">
    <w:name w:val="Normal (Web)"/>
    <w:basedOn w:val="Normal"/>
    <w:uiPriority w:val="99"/>
    <w:semiHidden/>
    <w:unhideWhenUsed/>
    <w:rsid w:val="005035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hail.ismayil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Rəşail Ismayılov</dc:creator>
  <cp:keywords/>
  <dc:description/>
  <cp:lastModifiedBy>Rəşail Ismayılov</cp:lastModifiedBy>
  <cp:revision>17</cp:revision>
  <dcterms:created xsi:type="dcterms:W3CDTF">2020-11-13T13:10:00Z</dcterms:created>
  <dcterms:modified xsi:type="dcterms:W3CDTF">2024-05-16T08:22:00Z</dcterms:modified>
</cp:coreProperties>
</file>